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hint="eastAsia" w:ascii="方正小标宋_GBK" w:hAnsi="方正小标宋_GBK" w:eastAsia="方正小标宋_GBK" w:cs="方正小标宋_GBK"/>
          <w:color w:val="000000" w:themeColor="text1"/>
          <w:sz w:val="36"/>
          <w:szCs w:val="36"/>
        </w:rPr>
      </w:pPr>
      <w:r>
        <w:rPr>
          <w:rFonts w:hint="eastAsia" w:ascii="方正小标宋_GBK" w:hAnsi="方正小标宋_GBK" w:eastAsia="方正小标宋_GBK" w:cs="方正小标宋_GBK"/>
          <w:color w:val="000000" w:themeColor="text1"/>
          <w:sz w:val="36"/>
          <w:szCs w:val="36"/>
        </w:rPr>
        <w:t>贵州省食品接触用纸容器产品质量监督抽查实施细则</w:t>
      </w:r>
    </w:p>
    <w:p>
      <w:pPr>
        <w:spacing w:line="440" w:lineRule="exact"/>
        <w:jc w:val="center"/>
        <w:rPr>
          <w:rFonts w:hint="eastAsia" w:ascii="楷体_GB2312" w:hAnsi="楷体_GB2312" w:eastAsia="楷体_GB2312" w:cs="楷体_GB2312"/>
          <w:color w:val="000000" w:themeColor="text1"/>
          <w:sz w:val="30"/>
          <w:szCs w:val="30"/>
        </w:rPr>
      </w:pPr>
      <w:r>
        <w:rPr>
          <w:rFonts w:hint="eastAsia" w:ascii="楷体_GB2312" w:hAnsi="楷体_GB2312" w:eastAsia="楷体_GB2312" w:cs="楷体_GB2312"/>
          <w:color w:val="000000" w:themeColor="text1"/>
          <w:sz w:val="30"/>
          <w:szCs w:val="30"/>
        </w:rPr>
        <w:t>（202</w:t>
      </w:r>
      <w:r>
        <w:rPr>
          <w:rFonts w:hint="eastAsia" w:ascii="楷体_GB2312" w:hAnsi="楷体_GB2312" w:eastAsia="楷体_GB2312" w:cs="楷体_GB2312"/>
          <w:color w:val="000000" w:themeColor="text1"/>
          <w:sz w:val="30"/>
          <w:szCs w:val="30"/>
          <w:lang w:val="en-US" w:eastAsia="zh-CN"/>
        </w:rPr>
        <w:t>6</w:t>
      </w:r>
      <w:r>
        <w:rPr>
          <w:rFonts w:hint="eastAsia" w:ascii="楷体_GB2312" w:hAnsi="楷体_GB2312" w:eastAsia="楷体_GB2312" w:cs="楷体_GB2312"/>
          <w:color w:val="000000" w:themeColor="text1"/>
          <w:sz w:val="30"/>
          <w:szCs w:val="30"/>
        </w:rPr>
        <w:t>年版）</w:t>
      </w:r>
    </w:p>
    <w:p>
      <w:pPr>
        <w:adjustRightInd w:val="0"/>
        <w:snapToGrid w:val="0"/>
        <w:spacing w:line="440" w:lineRule="exact"/>
        <w:outlineLvl w:val="1"/>
        <w:rPr>
          <w:rFonts w:hint="eastAsia" w:ascii="黑体" w:hAnsi="黑体" w:eastAsia="黑体"/>
          <w:color w:val="000000" w:themeColor="text1"/>
        </w:rPr>
      </w:pPr>
      <w:r>
        <w:rPr>
          <w:rFonts w:ascii="黑体" w:hAnsi="黑体" w:eastAsia="黑体"/>
          <w:color w:val="000000" w:themeColor="text1"/>
        </w:rPr>
        <w:t>1</w:t>
      </w:r>
      <w:r>
        <w:rPr>
          <w:rFonts w:hint="eastAsia" w:ascii="黑体" w:hAnsi="黑体" w:eastAsia="黑体"/>
          <w:color w:val="000000" w:themeColor="text1"/>
        </w:rPr>
        <w:t>抽样方法</w:t>
      </w:r>
    </w:p>
    <w:p>
      <w:pPr>
        <w:snapToGrid w:val="0"/>
        <w:spacing w:line="440" w:lineRule="exact"/>
        <w:ind w:firstLine="420" w:firstLineChars="200"/>
        <w:rPr>
          <w:rFonts w:hint="default" w:ascii="Times New Roman" w:hAnsi="Times New Roman" w:cs="Times New Roman"/>
          <w:color w:val="000000" w:themeColor="text1"/>
        </w:rPr>
      </w:pPr>
      <w:r>
        <w:rPr>
          <w:rFonts w:hint="default" w:ascii="Times New Roman" w:hAnsi="Times New Roman" w:cs="Times New Roman"/>
          <w:color w:val="000000" w:themeColor="text1"/>
        </w:rPr>
        <w:t>以随机抽样的方式在被抽样生产者、销售者的待销产品中抽取。</w:t>
      </w:r>
    </w:p>
    <w:p>
      <w:pPr>
        <w:snapToGrid w:val="0"/>
        <w:spacing w:line="440" w:lineRule="exact"/>
        <w:ind w:firstLine="420" w:firstLineChars="200"/>
        <w:rPr>
          <w:rFonts w:hint="default" w:ascii="Times New Roman" w:hAnsi="Times New Roman" w:cs="Times New Roman"/>
          <w:color w:val="000000" w:themeColor="text1"/>
        </w:rPr>
      </w:pPr>
      <w:r>
        <w:rPr>
          <w:rFonts w:hint="default" w:ascii="Times New Roman" w:hAnsi="Times New Roman" w:cs="Times New Roman"/>
          <w:color w:val="000000" w:themeColor="text1"/>
        </w:rPr>
        <w:t>随机数一般可使用随机数表等方法产生。</w:t>
      </w:r>
    </w:p>
    <w:p>
      <w:pPr>
        <w:snapToGrid w:val="0"/>
        <w:spacing w:line="440" w:lineRule="exact"/>
        <w:ind w:firstLine="420" w:firstLineChars="200"/>
        <w:rPr>
          <w:rFonts w:hint="default" w:ascii="Times New Roman" w:hAnsi="Times New Roman" w:cs="Times New Roman"/>
          <w:color w:val="000000" w:themeColor="text1"/>
        </w:rPr>
      </w:pPr>
      <w:r>
        <w:rPr>
          <w:rFonts w:hint="default" w:ascii="Times New Roman" w:hAnsi="Times New Roman" w:cs="Times New Roman"/>
          <w:color w:val="000000" w:themeColor="text1"/>
        </w:rPr>
        <w:t>抽样数量见表1。</w:t>
      </w:r>
    </w:p>
    <w:p>
      <w:pPr>
        <w:snapToGrid w:val="0"/>
        <w:spacing w:line="440" w:lineRule="exact"/>
        <w:ind w:firstLine="420" w:firstLineChars="20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表1 抽样数量</w:t>
      </w:r>
    </w:p>
    <w:tbl>
      <w:tblPr>
        <w:tblStyle w:val="8"/>
        <w:tblW w:w="89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709"/>
        <w:gridCol w:w="1559"/>
        <w:gridCol w:w="2693"/>
        <w:gridCol w:w="1665"/>
        <w:gridCol w:w="1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695" w:type="dxa"/>
            <w:vAlign w:val="center"/>
          </w:tcPr>
          <w:p>
            <w:pPr>
              <w:autoSpaceDE w:val="0"/>
              <w:autoSpaceDN w:val="0"/>
              <w:adjustRightInd w:val="0"/>
              <w:snapToGrid w:val="0"/>
              <w:jc w:val="center"/>
              <w:rPr>
                <w:rFonts w:hint="eastAsia" w:ascii="黑体" w:hAnsi="黑体" w:eastAsia="黑体" w:cs="黑体"/>
                <w:color w:val="000000" w:themeColor="text1"/>
                <w:kern w:val="0"/>
              </w:rPr>
            </w:pPr>
            <w:r>
              <w:rPr>
                <w:rFonts w:hint="eastAsia" w:ascii="黑体" w:hAnsi="黑体" w:eastAsia="黑体" w:cs="黑体"/>
                <w:color w:val="000000" w:themeColor="text1"/>
                <w:kern w:val="0"/>
              </w:rPr>
              <w:t>序号</w:t>
            </w:r>
          </w:p>
        </w:tc>
        <w:tc>
          <w:tcPr>
            <w:tcW w:w="2268" w:type="dxa"/>
            <w:gridSpan w:val="2"/>
            <w:vAlign w:val="center"/>
          </w:tcPr>
          <w:p>
            <w:pPr>
              <w:autoSpaceDE w:val="0"/>
              <w:autoSpaceDN w:val="0"/>
              <w:adjustRightInd w:val="0"/>
              <w:snapToGrid w:val="0"/>
              <w:jc w:val="center"/>
              <w:rPr>
                <w:rFonts w:hint="eastAsia" w:ascii="黑体" w:hAnsi="黑体" w:eastAsia="黑体" w:cs="黑体"/>
                <w:color w:val="000000" w:themeColor="text1"/>
                <w:kern w:val="0"/>
              </w:rPr>
            </w:pPr>
            <w:r>
              <w:rPr>
                <w:rFonts w:hint="eastAsia" w:ascii="黑体" w:hAnsi="黑体" w:eastAsia="黑体" w:cs="黑体"/>
                <w:color w:val="000000" w:themeColor="text1"/>
                <w:kern w:val="0"/>
              </w:rPr>
              <w:t>产品名称</w:t>
            </w:r>
          </w:p>
        </w:tc>
        <w:tc>
          <w:tcPr>
            <w:tcW w:w="2693" w:type="dxa"/>
            <w:vAlign w:val="center"/>
          </w:tcPr>
          <w:p>
            <w:pPr>
              <w:autoSpaceDE w:val="0"/>
              <w:autoSpaceDN w:val="0"/>
              <w:adjustRightInd w:val="0"/>
              <w:snapToGrid w:val="0"/>
              <w:jc w:val="center"/>
              <w:rPr>
                <w:rFonts w:hint="eastAsia" w:ascii="黑体" w:hAnsi="黑体" w:eastAsia="黑体" w:cs="黑体"/>
                <w:color w:val="000000" w:themeColor="text1"/>
                <w:kern w:val="0"/>
              </w:rPr>
            </w:pPr>
            <w:r>
              <w:rPr>
                <w:rFonts w:hint="eastAsia" w:ascii="黑体" w:hAnsi="黑体" w:eastAsia="黑体" w:cs="黑体"/>
                <w:color w:val="000000" w:themeColor="text1"/>
                <w:kern w:val="0"/>
              </w:rPr>
              <w:t>抽样数量（只/支）</w:t>
            </w:r>
          </w:p>
        </w:tc>
        <w:tc>
          <w:tcPr>
            <w:tcW w:w="1665" w:type="dxa"/>
            <w:vAlign w:val="center"/>
          </w:tcPr>
          <w:p>
            <w:pPr>
              <w:snapToGrid w:val="0"/>
              <w:jc w:val="center"/>
              <w:rPr>
                <w:rFonts w:hint="eastAsia" w:ascii="黑体" w:hAnsi="黑体" w:eastAsia="黑体" w:cs="黑体"/>
                <w:color w:val="000000" w:themeColor="text1"/>
                <w:kern w:val="0"/>
              </w:rPr>
            </w:pPr>
            <w:r>
              <w:rPr>
                <w:rFonts w:hint="eastAsia" w:ascii="黑体" w:hAnsi="黑体" w:eastAsia="黑体" w:cs="黑体"/>
                <w:color w:val="000000" w:themeColor="text1"/>
              </w:rPr>
              <w:t>检验样品数量</w:t>
            </w:r>
            <w:r>
              <w:rPr>
                <w:rFonts w:hint="eastAsia" w:ascii="黑体" w:hAnsi="黑体" w:eastAsia="黑体" w:cs="黑体"/>
                <w:color w:val="000000" w:themeColor="text1"/>
                <w:kern w:val="0"/>
              </w:rPr>
              <w:t>（只/支）</w:t>
            </w:r>
          </w:p>
        </w:tc>
        <w:tc>
          <w:tcPr>
            <w:tcW w:w="1632" w:type="dxa"/>
            <w:vAlign w:val="center"/>
          </w:tcPr>
          <w:p>
            <w:pPr>
              <w:snapToGrid w:val="0"/>
              <w:jc w:val="center"/>
              <w:rPr>
                <w:rFonts w:hint="eastAsia" w:ascii="黑体" w:hAnsi="黑体" w:eastAsia="黑体" w:cs="黑体"/>
                <w:color w:val="000000" w:themeColor="text1"/>
                <w:kern w:val="0"/>
              </w:rPr>
            </w:pPr>
            <w:r>
              <w:rPr>
                <w:rFonts w:hint="eastAsia" w:ascii="黑体" w:hAnsi="黑体" w:eastAsia="黑体" w:cs="黑体"/>
                <w:color w:val="000000" w:themeColor="text1"/>
              </w:rPr>
              <w:t>备用样品数量</w:t>
            </w:r>
            <w:r>
              <w:rPr>
                <w:rFonts w:hint="eastAsia" w:ascii="黑体" w:hAnsi="黑体" w:eastAsia="黑体" w:cs="黑体"/>
                <w:color w:val="000000" w:themeColor="text1"/>
                <w:kern w:val="0"/>
              </w:rPr>
              <w:t>（只/支）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695" w:type="dxa"/>
            <w:vAlign w:val="center"/>
          </w:tcPr>
          <w:p>
            <w:pPr>
              <w:autoSpaceDE w:val="0"/>
              <w:autoSpaceDN w:val="0"/>
              <w:adjustRightInd w:val="0"/>
              <w:snapToGrid w:val="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1</w:t>
            </w:r>
          </w:p>
        </w:tc>
        <w:tc>
          <w:tcPr>
            <w:tcW w:w="2268" w:type="dxa"/>
            <w:gridSpan w:val="2"/>
            <w:vAlign w:val="center"/>
          </w:tcPr>
          <w:p>
            <w:pPr>
              <w:autoSpaceDE w:val="0"/>
              <w:autoSpaceDN w:val="0"/>
              <w:adjustRightInd w:val="0"/>
              <w:snapToGrid w:val="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纸餐具</w:t>
            </w:r>
          </w:p>
        </w:tc>
        <w:tc>
          <w:tcPr>
            <w:tcW w:w="2693" w:type="dxa"/>
            <w:vAlign w:val="center"/>
          </w:tcPr>
          <w:p>
            <w:pPr>
              <w:autoSpaceDE w:val="0"/>
              <w:autoSpaceDN w:val="0"/>
              <w:adjustRightInd w:val="0"/>
              <w:snapToGrid w:val="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70</w:t>
            </w:r>
          </w:p>
        </w:tc>
        <w:tc>
          <w:tcPr>
            <w:tcW w:w="1665" w:type="dxa"/>
            <w:vAlign w:val="center"/>
          </w:tcPr>
          <w:p>
            <w:pPr>
              <w:autoSpaceDE w:val="0"/>
              <w:autoSpaceDN w:val="0"/>
              <w:adjustRightInd w:val="0"/>
              <w:snapToGrid w:val="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50</w:t>
            </w:r>
          </w:p>
        </w:tc>
        <w:tc>
          <w:tcPr>
            <w:tcW w:w="1632" w:type="dxa"/>
            <w:vAlign w:val="center"/>
          </w:tcPr>
          <w:p>
            <w:pPr>
              <w:autoSpaceDE w:val="0"/>
              <w:autoSpaceDN w:val="0"/>
              <w:adjustRightInd w:val="0"/>
              <w:snapToGrid w:val="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695" w:type="dxa"/>
            <w:vAlign w:val="center"/>
          </w:tcPr>
          <w:p>
            <w:pPr>
              <w:autoSpaceDE w:val="0"/>
              <w:autoSpaceDN w:val="0"/>
              <w:adjustRightInd w:val="0"/>
              <w:snapToGrid w:val="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2</w:t>
            </w:r>
          </w:p>
        </w:tc>
        <w:tc>
          <w:tcPr>
            <w:tcW w:w="2268" w:type="dxa"/>
            <w:gridSpan w:val="2"/>
            <w:vAlign w:val="center"/>
          </w:tcPr>
          <w:p>
            <w:pPr>
              <w:adjustRightInd w:val="0"/>
              <w:snapToGrid w:val="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纸盒</w:t>
            </w:r>
          </w:p>
        </w:tc>
        <w:tc>
          <w:tcPr>
            <w:tcW w:w="2693" w:type="dxa"/>
            <w:vAlign w:val="center"/>
          </w:tcPr>
          <w:p>
            <w:pPr>
              <w:autoSpaceDE w:val="0"/>
              <w:autoSpaceDN w:val="0"/>
              <w:adjustRightInd w:val="0"/>
              <w:snapToGrid w:val="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40</w:t>
            </w:r>
          </w:p>
        </w:tc>
        <w:tc>
          <w:tcPr>
            <w:tcW w:w="1665" w:type="dxa"/>
            <w:vAlign w:val="center"/>
          </w:tcPr>
          <w:p>
            <w:pPr>
              <w:autoSpaceDE w:val="0"/>
              <w:autoSpaceDN w:val="0"/>
              <w:adjustRightInd w:val="0"/>
              <w:snapToGrid w:val="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30</w:t>
            </w:r>
          </w:p>
        </w:tc>
        <w:tc>
          <w:tcPr>
            <w:tcW w:w="1632" w:type="dxa"/>
            <w:vAlign w:val="center"/>
          </w:tcPr>
          <w:p>
            <w:pPr>
              <w:autoSpaceDE w:val="0"/>
              <w:autoSpaceDN w:val="0"/>
              <w:adjustRightInd w:val="0"/>
              <w:snapToGrid w:val="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695" w:type="dxa"/>
            <w:vAlign w:val="center"/>
          </w:tcPr>
          <w:p>
            <w:pPr>
              <w:autoSpaceDE w:val="0"/>
              <w:autoSpaceDN w:val="0"/>
              <w:adjustRightInd w:val="0"/>
              <w:snapToGrid w:val="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3</w:t>
            </w:r>
          </w:p>
        </w:tc>
        <w:tc>
          <w:tcPr>
            <w:tcW w:w="2268" w:type="dxa"/>
            <w:gridSpan w:val="2"/>
            <w:vAlign w:val="center"/>
          </w:tcPr>
          <w:p>
            <w:pPr>
              <w:autoSpaceDE w:val="0"/>
              <w:autoSpaceDN w:val="0"/>
              <w:adjustRightInd w:val="0"/>
              <w:snapToGrid w:val="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纸袋</w:t>
            </w:r>
          </w:p>
        </w:tc>
        <w:tc>
          <w:tcPr>
            <w:tcW w:w="2693" w:type="dxa"/>
            <w:vAlign w:val="center"/>
          </w:tcPr>
          <w:p>
            <w:pPr>
              <w:autoSpaceDE w:val="0"/>
              <w:autoSpaceDN w:val="0"/>
              <w:adjustRightInd w:val="0"/>
              <w:snapToGrid w:val="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60</w:t>
            </w:r>
          </w:p>
        </w:tc>
        <w:tc>
          <w:tcPr>
            <w:tcW w:w="1665" w:type="dxa"/>
            <w:vAlign w:val="center"/>
          </w:tcPr>
          <w:p>
            <w:pPr>
              <w:autoSpaceDE w:val="0"/>
              <w:autoSpaceDN w:val="0"/>
              <w:adjustRightInd w:val="0"/>
              <w:snapToGrid w:val="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40</w:t>
            </w:r>
          </w:p>
        </w:tc>
        <w:tc>
          <w:tcPr>
            <w:tcW w:w="1632" w:type="dxa"/>
            <w:vAlign w:val="center"/>
          </w:tcPr>
          <w:p>
            <w:pPr>
              <w:autoSpaceDE w:val="0"/>
              <w:autoSpaceDN w:val="0"/>
              <w:adjustRightInd w:val="0"/>
              <w:snapToGrid w:val="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695" w:type="dxa"/>
            <w:vMerge w:val="restart"/>
            <w:vAlign w:val="center"/>
          </w:tcPr>
          <w:p>
            <w:pPr>
              <w:adjustRightInd w:val="0"/>
              <w:snapToGrid w:val="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rPr>
              <w:t>4</w:t>
            </w:r>
          </w:p>
        </w:tc>
        <w:tc>
          <w:tcPr>
            <w:tcW w:w="709" w:type="dxa"/>
            <w:vMerge w:val="restart"/>
            <w:vAlign w:val="center"/>
          </w:tcPr>
          <w:p>
            <w:pPr>
              <w:autoSpaceDE w:val="0"/>
              <w:autoSpaceDN w:val="0"/>
              <w:adjustRightInd w:val="0"/>
              <w:snapToGrid w:val="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纸罐</w:t>
            </w:r>
          </w:p>
        </w:tc>
        <w:tc>
          <w:tcPr>
            <w:tcW w:w="1559" w:type="dxa"/>
            <w:vAlign w:val="center"/>
          </w:tcPr>
          <w:p>
            <w:pPr>
              <w:autoSpaceDE w:val="0"/>
              <w:autoSpaceDN w:val="0"/>
              <w:adjustRightInd w:val="0"/>
              <w:snapToGrid w:val="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纸板类罐</w:t>
            </w:r>
          </w:p>
        </w:tc>
        <w:tc>
          <w:tcPr>
            <w:tcW w:w="2693" w:type="dxa"/>
            <w:vAlign w:val="center"/>
          </w:tcPr>
          <w:p>
            <w:pPr>
              <w:autoSpaceDE w:val="0"/>
              <w:autoSpaceDN w:val="0"/>
              <w:adjustRightInd w:val="0"/>
              <w:snapToGrid w:val="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30</w:t>
            </w:r>
          </w:p>
        </w:tc>
        <w:tc>
          <w:tcPr>
            <w:tcW w:w="1665" w:type="dxa"/>
            <w:vAlign w:val="center"/>
          </w:tcPr>
          <w:p>
            <w:pPr>
              <w:autoSpaceDE w:val="0"/>
              <w:autoSpaceDN w:val="0"/>
              <w:adjustRightInd w:val="0"/>
              <w:snapToGrid w:val="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25</w:t>
            </w:r>
          </w:p>
        </w:tc>
        <w:tc>
          <w:tcPr>
            <w:tcW w:w="1632" w:type="dxa"/>
            <w:vAlign w:val="center"/>
          </w:tcPr>
          <w:p>
            <w:pPr>
              <w:autoSpaceDE w:val="0"/>
              <w:autoSpaceDN w:val="0"/>
              <w:adjustRightInd w:val="0"/>
              <w:snapToGrid w:val="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695" w:type="dxa"/>
            <w:vMerge w:val="continue"/>
            <w:vAlign w:val="center"/>
          </w:tcPr>
          <w:p>
            <w:pPr>
              <w:autoSpaceDE w:val="0"/>
              <w:autoSpaceDN w:val="0"/>
              <w:adjustRightInd w:val="0"/>
              <w:snapToGrid w:val="0"/>
              <w:jc w:val="center"/>
              <w:rPr>
                <w:rFonts w:hint="default" w:ascii="Times New Roman" w:hAnsi="Times New Roman" w:cs="Times New Roman"/>
                <w:color w:val="000000" w:themeColor="text1"/>
                <w:kern w:val="0"/>
              </w:rPr>
            </w:pPr>
          </w:p>
        </w:tc>
        <w:tc>
          <w:tcPr>
            <w:tcW w:w="709" w:type="dxa"/>
            <w:vMerge w:val="continue"/>
            <w:vAlign w:val="center"/>
          </w:tcPr>
          <w:p>
            <w:pPr>
              <w:autoSpaceDE w:val="0"/>
              <w:autoSpaceDN w:val="0"/>
              <w:adjustRightInd w:val="0"/>
              <w:snapToGrid w:val="0"/>
              <w:jc w:val="center"/>
              <w:rPr>
                <w:rFonts w:hint="default" w:ascii="Times New Roman" w:hAnsi="Times New Roman" w:cs="Times New Roman"/>
                <w:color w:val="000000" w:themeColor="text1"/>
                <w:kern w:val="0"/>
              </w:rPr>
            </w:pPr>
          </w:p>
        </w:tc>
        <w:tc>
          <w:tcPr>
            <w:tcW w:w="1559" w:type="dxa"/>
            <w:vAlign w:val="center"/>
          </w:tcPr>
          <w:p>
            <w:pPr>
              <w:autoSpaceDE w:val="0"/>
              <w:autoSpaceDN w:val="0"/>
              <w:adjustRightInd w:val="0"/>
              <w:snapToGrid w:val="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圆柱形复合罐</w:t>
            </w:r>
          </w:p>
        </w:tc>
        <w:tc>
          <w:tcPr>
            <w:tcW w:w="2693" w:type="dxa"/>
            <w:vAlign w:val="center"/>
          </w:tcPr>
          <w:p>
            <w:pPr>
              <w:autoSpaceDE w:val="0"/>
              <w:autoSpaceDN w:val="0"/>
              <w:adjustRightInd w:val="0"/>
              <w:snapToGrid w:val="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50</w:t>
            </w:r>
          </w:p>
        </w:tc>
        <w:tc>
          <w:tcPr>
            <w:tcW w:w="1665" w:type="dxa"/>
            <w:vAlign w:val="center"/>
          </w:tcPr>
          <w:p>
            <w:pPr>
              <w:autoSpaceDE w:val="0"/>
              <w:autoSpaceDN w:val="0"/>
              <w:adjustRightInd w:val="0"/>
              <w:snapToGrid w:val="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40</w:t>
            </w:r>
          </w:p>
        </w:tc>
        <w:tc>
          <w:tcPr>
            <w:tcW w:w="1632" w:type="dxa"/>
            <w:vAlign w:val="center"/>
          </w:tcPr>
          <w:p>
            <w:pPr>
              <w:autoSpaceDE w:val="0"/>
              <w:autoSpaceDN w:val="0"/>
              <w:adjustRightInd w:val="0"/>
              <w:snapToGrid w:val="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695" w:type="dxa"/>
            <w:vAlign w:val="center"/>
          </w:tcPr>
          <w:p>
            <w:pPr>
              <w:autoSpaceDE w:val="0"/>
              <w:autoSpaceDN w:val="0"/>
              <w:adjustRightInd w:val="0"/>
              <w:snapToGrid w:val="0"/>
              <w:jc w:val="center"/>
              <w:rPr>
                <w:rFonts w:hint="eastAsia" w:ascii="Times New Roman" w:hAnsi="Times New Roman" w:eastAsia="宋体" w:cs="Times New Roman"/>
                <w:color w:val="000000" w:themeColor="text1"/>
                <w:kern w:val="0"/>
                <w:lang w:val="en-US" w:eastAsia="zh-CN"/>
              </w:rPr>
            </w:pPr>
            <w:r>
              <w:rPr>
                <w:rFonts w:hint="eastAsia" w:ascii="Times New Roman" w:hAnsi="Times New Roman" w:cs="Times New Roman"/>
                <w:color w:val="000000" w:themeColor="text1"/>
                <w:kern w:val="0"/>
                <w:lang w:val="en-US" w:eastAsia="zh-CN"/>
              </w:rPr>
              <w:t>5</w:t>
            </w:r>
          </w:p>
        </w:tc>
        <w:tc>
          <w:tcPr>
            <w:tcW w:w="2268" w:type="dxa"/>
            <w:gridSpan w:val="2"/>
            <w:vAlign w:val="center"/>
          </w:tcPr>
          <w:p>
            <w:pPr>
              <w:autoSpaceDE w:val="0"/>
              <w:autoSpaceDN w:val="0"/>
              <w:adjustRightInd w:val="0"/>
              <w:snapToGrid w:val="0"/>
              <w:jc w:val="center"/>
              <w:rPr>
                <w:rFonts w:hint="eastAsia" w:ascii="Times New Roman" w:hAnsi="Times New Roman" w:eastAsia="宋体" w:cs="Times New Roman"/>
                <w:color w:val="000000" w:themeColor="text1"/>
                <w:kern w:val="0"/>
                <w:lang w:val="en-US" w:eastAsia="zh-CN"/>
              </w:rPr>
            </w:pPr>
            <w:r>
              <w:rPr>
                <w:rFonts w:hint="eastAsia" w:ascii="Times New Roman" w:hAnsi="Times New Roman" w:cs="Times New Roman"/>
                <w:color w:val="000000" w:themeColor="text1"/>
                <w:kern w:val="0"/>
                <w:lang w:val="en-US" w:eastAsia="zh-CN"/>
              </w:rPr>
              <w:t>纸杯</w:t>
            </w:r>
          </w:p>
        </w:tc>
        <w:tc>
          <w:tcPr>
            <w:tcW w:w="2693" w:type="dxa"/>
            <w:vAlign w:val="center"/>
          </w:tcPr>
          <w:p>
            <w:pPr>
              <w:autoSpaceDE w:val="0"/>
              <w:autoSpaceDN w:val="0"/>
              <w:adjustRightInd w:val="0"/>
              <w:snapToGrid w:val="0"/>
              <w:jc w:val="center"/>
              <w:rPr>
                <w:rFonts w:hint="default" w:ascii="Times New Roman" w:hAnsi="Times New Roman" w:eastAsia="宋体" w:cs="Times New Roman"/>
                <w:color w:val="000000" w:themeColor="text1"/>
                <w:kern w:val="0"/>
                <w:lang w:val="en-US" w:eastAsia="zh-CN"/>
              </w:rPr>
            </w:pPr>
            <w:r>
              <w:rPr>
                <w:rFonts w:hint="eastAsia" w:ascii="Times New Roman" w:hAnsi="Times New Roman" w:cs="Times New Roman"/>
                <w:color w:val="000000" w:themeColor="text1"/>
                <w:kern w:val="0"/>
                <w:lang w:val="en-US" w:eastAsia="zh-CN"/>
              </w:rPr>
              <w:t>100</w:t>
            </w:r>
          </w:p>
        </w:tc>
        <w:tc>
          <w:tcPr>
            <w:tcW w:w="1665" w:type="dxa"/>
            <w:vAlign w:val="center"/>
          </w:tcPr>
          <w:p>
            <w:pPr>
              <w:autoSpaceDE w:val="0"/>
              <w:autoSpaceDN w:val="0"/>
              <w:adjustRightInd w:val="0"/>
              <w:snapToGrid w:val="0"/>
              <w:jc w:val="center"/>
              <w:rPr>
                <w:rFonts w:hint="default" w:ascii="Times New Roman" w:hAnsi="Times New Roman" w:eastAsia="宋体" w:cs="Times New Roman"/>
                <w:color w:val="000000" w:themeColor="text1"/>
                <w:kern w:val="0"/>
                <w:lang w:val="en-US" w:eastAsia="zh-CN"/>
              </w:rPr>
            </w:pPr>
            <w:r>
              <w:rPr>
                <w:rFonts w:hint="eastAsia" w:ascii="Times New Roman" w:hAnsi="Times New Roman" w:cs="Times New Roman"/>
                <w:color w:val="000000" w:themeColor="text1"/>
                <w:kern w:val="0"/>
                <w:lang w:val="en-US" w:eastAsia="zh-CN"/>
              </w:rPr>
              <w:t>50</w:t>
            </w:r>
          </w:p>
        </w:tc>
        <w:tc>
          <w:tcPr>
            <w:tcW w:w="1632" w:type="dxa"/>
            <w:vAlign w:val="center"/>
          </w:tcPr>
          <w:p>
            <w:pPr>
              <w:autoSpaceDE w:val="0"/>
              <w:autoSpaceDN w:val="0"/>
              <w:adjustRightInd w:val="0"/>
              <w:snapToGrid w:val="0"/>
              <w:jc w:val="center"/>
              <w:rPr>
                <w:rFonts w:hint="default" w:ascii="Times New Roman" w:hAnsi="Times New Roman" w:eastAsia="宋体" w:cs="Times New Roman"/>
                <w:color w:val="000000" w:themeColor="text1"/>
                <w:kern w:val="0"/>
                <w:lang w:val="en-US" w:eastAsia="zh-CN"/>
              </w:rPr>
            </w:pPr>
            <w:r>
              <w:rPr>
                <w:rFonts w:hint="eastAsia" w:ascii="Times New Roman" w:hAnsi="Times New Roman" w:cs="Times New Roman"/>
                <w:color w:val="000000" w:themeColor="text1"/>
                <w:kern w:val="0"/>
                <w:lang w:val="en-US" w:eastAsia="zh-CN"/>
              </w:rPr>
              <w:t>50</w:t>
            </w:r>
          </w:p>
        </w:tc>
      </w:tr>
    </w:tbl>
    <w:p>
      <w:pPr>
        <w:snapToGrid w:val="0"/>
        <w:spacing w:line="440" w:lineRule="exact"/>
        <w:ind w:firstLine="420" w:firstLineChars="200"/>
        <w:rPr>
          <w:rFonts w:hint="default" w:ascii="Times New Roman" w:hAnsi="Times New Roman" w:cs="Times New Roman"/>
          <w:color w:val="000000"/>
        </w:rPr>
      </w:pPr>
      <w:r>
        <w:rPr>
          <w:rFonts w:hint="eastAsia" w:ascii="Times New Roman" w:hAnsi="Times New Roman" w:cs="Times New Roman"/>
          <w:color w:val="000000"/>
          <w:lang w:val="en-US" w:eastAsia="zh-CN"/>
        </w:rPr>
        <w:t>注：</w:t>
      </w:r>
      <w:r>
        <w:rPr>
          <w:rFonts w:hint="default" w:ascii="Times New Roman" w:hAnsi="Times New Roman" w:cs="Times New Roman"/>
          <w:color w:val="000000"/>
        </w:rPr>
        <w:t>若样品过小，应调整抽样量满足样品总质量不小于0.25kg，其中检样、备样按比例2:1抽取。</w:t>
      </w:r>
    </w:p>
    <w:p>
      <w:pPr>
        <w:adjustRightInd w:val="0"/>
        <w:snapToGrid w:val="0"/>
        <w:spacing w:line="440" w:lineRule="exact"/>
        <w:outlineLvl w:val="1"/>
        <w:rPr>
          <w:rFonts w:hint="default" w:ascii="Times New Roman" w:hAnsi="Times New Roman" w:eastAsia="黑体" w:cs="Times New Roman"/>
          <w:color w:val="000000" w:themeColor="text1"/>
          <w:lang w:val="en-US" w:eastAsia="zh-CN"/>
        </w:rPr>
      </w:pPr>
    </w:p>
    <w:p>
      <w:pPr>
        <w:adjustRightInd w:val="0"/>
        <w:snapToGrid w:val="0"/>
        <w:spacing w:line="440" w:lineRule="exact"/>
        <w:outlineLvl w:val="1"/>
        <w:rPr>
          <w:rFonts w:hint="default" w:ascii="Times New Roman" w:hAnsi="Times New Roman" w:eastAsia="黑体" w:cs="Times New Roman"/>
          <w:color w:val="000000" w:themeColor="text1"/>
        </w:rPr>
      </w:pPr>
      <w:r>
        <w:rPr>
          <w:rFonts w:hint="default" w:ascii="Times New Roman" w:hAnsi="Times New Roman" w:eastAsia="黑体" w:cs="Times New Roman"/>
          <w:color w:val="000000" w:themeColor="text1"/>
        </w:rPr>
        <w:t>2 检验依据</w:t>
      </w:r>
    </w:p>
    <w:p>
      <w:pPr>
        <w:adjustRightInd w:val="0"/>
        <w:snapToGrid w:val="0"/>
        <w:spacing w:line="440" w:lineRule="exact"/>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表2 纸餐具</w:t>
      </w:r>
    </w:p>
    <w:tbl>
      <w:tblPr>
        <w:tblStyle w:val="8"/>
        <w:tblW w:w="48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8"/>
        <w:gridCol w:w="3905"/>
        <w:gridCol w:w="4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365" w:type="pct"/>
            <w:vAlign w:val="center"/>
          </w:tcPr>
          <w:p>
            <w:pPr>
              <w:adjustRightInd w:val="0"/>
              <w:snapToGrid w:val="0"/>
              <w:spacing w:before="62" w:beforeLines="20" w:after="62" w:afterLines="20"/>
              <w:jc w:val="center"/>
              <w:rPr>
                <w:rFonts w:hint="eastAsia" w:ascii="黑体" w:hAnsi="黑体" w:eastAsia="黑体" w:cs="黑体"/>
                <w:color w:val="000000" w:themeColor="text1"/>
              </w:rPr>
            </w:pPr>
            <w:r>
              <w:rPr>
                <w:rFonts w:hint="eastAsia" w:ascii="黑体" w:hAnsi="黑体" w:eastAsia="黑体" w:cs="黑体"/>
                <w:color w:val="000000" w:themeColor="text1"/>
              </w:rPr>
              <w:t>序号</w:t>
            </w:r>
          </w:p>
        </w:tc>
        <w:tc>
          <w:tcPr>
            <w:tcW w:w="2197" w:type="pct"/>
            <w:vAlign w:val="center"/>
          </w:tcPr>
          <w:p>
            <w:pPr>
              <w:adjustRightInd w:val="0"/>
              <w:snapToGrid w:val="0"/>
              <w:spacing w:before="62" w:beforeLines="20" w:after="62" w:afterLines="20"/>
              <w:jc w:val="center"/>
              <w:rPr>
                <w:rFonts w:hint="eastAsia" w:ascii="黑体" w:hAnsi="黑体" w:eastAsia="黑体" w:cs="黑体"/>
                <w:color w:val="000000" w:themeColor="text1"/>
              </w:rPr>
            </w:pPr>
            <w:r>
              <w:rPr>
                <w:rFonts w:hint="eastAsia" w:ascii="黑体" w:hAnsi="黑体" w:eastAsia="黑体" w:cs="黑体"/>
                <w:color w:val="000000" w:themeColor="text1"/>
              </w:rPr>
              <w:t>检验项目</w:t>
            </w:r>
          </w:p>
        </w:tc>
        <w:tc>
          <w:tcPr>
            <w:tcW w:w="2436" w:type="pct"/>
            <w:vAlign w:val="center"/>
          </w:tcPr>
          <w:p>
            <w:pPr>
              <w:adjustRightInd w:val="0"/>
              <w:snapToGrid w:val="0"/>
              <w:spacing w:before="62" w:beforeLines="20" w:after="62" w:afterLines="20"/>
              <w:jc w:val="center"/>
              <w:rPr>
                <w:rFonts w:hint="eastAsia" w:ascii="黑体" w:hAnsi="黑体" w:eastAsia="黑体" w:cs="黑体"/>
                <w:color w:val="000000" w:themeColor="text1"/>
              </w:rPr>
            </w:pPr>
            <w:r>
              <w:rPr>
                <w:rFonts w:hint="eastAsia" w:ascii="黑体" w:hAnsi="黑体" w:eastAsia="黑体" w:cs="黑体"/>
                <w:color w:val="000000" w:themeColor="text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365"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rPr>
              <w:t>1</w:t>
            </w:r>
          </w:p>
        </w:tc>
        <w:tc>
          <w:tcPr>
            <w:tcW w:w="2197"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感官要求</w:t>
            </w:r>
          </w:p>
        </w:tc>
        <w:tc>
          <w:tcPr>
            <w:tcW w:w="243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65"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2</w:t>
            </w:r>
          </w:p>
        </w:tc>
        <w:tc>
          <w:tcPr>
            <w:tcW w:w="2197"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总迁移量</w:t>
            </w:r>
          </w:p>
        </w:tc>
        <w:tc>
          <w:tcPr>
            <w:tcW w:w="243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65"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3</w:t>
            </w:r>
          </w:p>
        </w:tc>
        <w:tc>
          <w:tcPr>
            <w:tcW w:w="2197"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高锰酸钾消耗量</w:t>
            </w:r>
            <w:r>
              <w:rPr>
                <w:rFonts w:hint="default" w:ascii="Times New Roman" w:hAnsi="Times New Roman" w:cs="Times New Roman"/>
                <w:color w:val="000000" w:themeColor="text1"/>
                <w:vertAlign w:val="superscript"/>
              </w:rPr>
              <w:t>a</w:t>
            </w:r>
          </w:p>
        </w:tc>
        <w:tc>
          <w:tcPr>
            <w:tcW w:w="243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65"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4</w:t>
            </w:r>
          </w:p>
        </w:tc>
        <w:tc>
          <w:tcPr>
            <w:tcW w:w="2197"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重金属（以Pb计）</w:t>
            </w:r>
          </w:p>
        </w:tc>
        <w:tc>
          <w:tcPr>
            <w:tcW w:w="243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65"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rPr>
              <w:t>5</w:t>
            </w:r>
          </w:p>
        </w:tc>
        <w:tc>
          <w:tcPr>
            <w:tcW w:w="2197"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铅（Pb）</w:t>
            </w:r>
          </w:p>
        </w:tc>
        <w:tc>
          <w:tcPr>
            <w:tcW w:w="243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31604.34—2016</w:t>
            </w:r>
          </w:p>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65"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rPr>
              <w:t>6</w:t>
            </w:r>
          </w:p>
        </w:tc>
        <w:tc>
          <w:tcPr>
            <w:tcW w:w="2197"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砷（As）</w:t>
            </w:r>
          </w:p>
        </w:tc>
        <w:tc>
          <w:tcPr>
            <w:tcW w:w="243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31604.38—2016</w:t>
            </w:r>
          </w:p>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65"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rPr>
              <w:t>7</w:t>
            </w:r>
          </w:p>
        </w:tc>
        <w:tc>
          <w:tcPr>
            <w:tcW w:w="2197"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荧光性物质</w:t>
            </w:r>
          </w:p>
        </w:tc>
        <w:tc>
          <w:tcPr>
            <w:tcW w:w="243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31604.47—2023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65"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rPr>
              <w:t>8</w:t>
            </w:r>
          </w:p>
        </w:tc>
        <w:tc>
          <w:tcPr>
            <w:tcW w:w="2197"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甲醛</w:t>
            </w:r>
          </w:p>
        </w:tc>
        <w:tc>
          <w:tcPr>
            <w:tcW w:w="243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4806.8—2022</w:t>
            </w:r>
          </w:p>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9</w:t>
            </w:r>
          </w:p>
        </w:tc>
        <w:tc>
          <w:tcPr>
            <w:tcW w:w="2197" w:type="pct"/>
            <w:vAlign w:val="center"/>
          </w:tcPr>
          <w:p>
            <w:pPr>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1,3-二氯-2-丙醇</w:t>
            </w:r>
          </w:p>
        </w:tc>
        <w:tc>
          <w:tcPr>
            <w:tcW w:w="243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10</w:t>
            </w:r>
          </w:p>
        </w:tc>
        <w:tc>
          <w:tcPr>
            <w:tcW w:w="2197" w:type="pct"/>
            <w:vAlign w:val="center"/>
          </w:tcPr>
          <w:p>
            <w:pPr>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3-氯-1,2-丙二醇</w:t>
            </w:r>
          </w:p>
        </w:tc>
        <w:tc>
          <w:tcPr>
            <w:tcW w:w="243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11</w:t>
            </w:r>
          </w:p>
        </w:tc>
        <w:tc>
          <w:tcPr>
            <w:tcW w:w="2197"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大肠菌群</w:t>
            </w:r>
          </w:p>
        </w:tc>
        <w:tc>
          <w:tcPr>
            <w:tcW w:w="243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12</w:t>
            </w:r>
          </w:p>
        </w:tc>
        <w:tc>
          <w:tcPr>
            <w:tcW w:w="2197"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沙门氏菌</w:t>
            </w:r>
          </w:p>
        </w:tc>
        <w:tc>
          <w:tcPr>
            <w:tcW w:w="243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65"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13</w:t>
            </w:r>
          </w:p>
        </w:tc>
        <w:tc>
          <w:tcPr>
            <w:tcW w:w="2197"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霉菌</w:t>
            </w:r>
          </w:p>
        </w:tc>
        <w:tc>
          <w:tcPr>
            <w:tcW w:w="243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4806.8—2022</w:t>
            </w:r>
          </w:p>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4789.15—2016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14</w:t>
            </w:r>
          </w:p>
        </w:tc>
        <w:tc>
          <w:tcPr>
            <w:tcW w:w="2197"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渗漏性能</w:t>
            </w:r>
            <w:r>
              <w:rPr>
                <w:rFonts w:hint="default" w:ascii="Times New Roman" w:hAnsi="Times New Roman" w:cs="Times New Roman"/>
                <w:color w:val="000000" w:themeColor="text1"/>
                <w:vertAlign w:val="superscript"/>
              </w:rPr>
              <w:t>b</w:t>
            </w:r>
          </w:p>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（95℃±5℃水、油）</w:t>
            </w:r>
          </w:p>
        </w:tc>
        <w:tc>
          <w:tcPr>
            <w:tcW w:w="243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GB/T 27591—2011</w:t>
            </w:r>
          </w:p>
          <w:p>
            <w:pPr>
              <w:adjustRightInd w:val="0"/>
              <w:snapToGrid w:val="0"/>
              <w:spacing w:before="62" w:beforeLines="20" w:after="62" w:afterLines="20"/>
              <w:jc w:val="center"/>
              <w:rPr>
                <w:rFonts w:hint="default" w:ascii="Times New Roman" w:hAnsi="Times New Roman" w:eastAsia="宋体" w:cs="Times New Roman"/>
                <w:color w:val="000000" w:themeColor="text1"/>
                <w:lang w:val="en-US" w:eastAsia="zh-CN"/>
              </w:rPr>
            </w:pPr>
            <w:r>
              <w:rPr>
                <w:rFonts w:hint="default" w:ascii="Times New Roman" w:hAnsi="Times New Roman" w:cs="Times New Roman"/>
                <w:color w:val="000000" w:themeColor="text1"/>
              </w:rPr>
              <w:t>GB/T 27591—</w:t>
            </w:r>
            <w:r>
              <w:rPr>
                <w:rFonts w:hint="eastAsia" w:ascii="Times New Roman" w:hAnsi="Times New Roman" w:cs="Times New Roman"/>
                <w:color w:val="000000" w:themeColor="text1"/>
                <w:lang w:val="en-US" w:eastAsia="zh-CN"/>
              </w:rPr>
              <w:t>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15</w:t>
            </w:r>
          </w:p>
        </w:tc>
        <w:tc>
          <w:tcPr>
            <w:tcW w:w="2197"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抗压强度</w:t>
            </w:r>
            <w:r>
              <w:rPr>
                <w:rFonts w:hint="default" w:ascii="Times New Roman" w:hAnsi="Times New Roman" w:cs="Times New Roman"/>
                <w:color w:val="000000" w:themeColor="text1"/>
                <w:vertAlign w:val="superscript"/>
              </w:rPr>
              <w:t>b</w:t>
            </w:r>
          </w:p>
        </w:tc>
        <w:tc>
          <w:tcPr>
            <w:tcW w:w="243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GB/T 27591—2011</w:t>
            </w:r>
          </w:p>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GB/T 27591—</w:t>
            </w:r>
            <w:r>
              <w:rPr>
                <w:rFonts w:hint="eastAsia" w:ascii="Times New Roman" w:hAnsi="Times New Roman" w:cs="Times New Roman"/>
                <w:color w:val="000000" w:themeColor="text1"/>
                <w:lang w:val="en-US" w:eastAsia="zh-CN"/>
              </w:rPr>
              <w:t>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16</w:t>
            </w:r>
          </w:p>
        </w:tc>
        <w:tc>
          <w:tcPr>
            <w:tcW w:w="2197"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耐温试验</w:t>
            </w:r>
            <w:r>
              <w:rPr>
                <w:rFonts w:hint="default" w:ascii="Times New Roman" w:hAnsi="Times New Roman" w:cs="Times New Roman"/>
                <w:color w:val="000000" w:themeColor="text1"/>
                <w:vertAlign w:val="superscript"/>
              </w:rPr>
              <w:t>c</w:t>
            </w:r>
          </w:p>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（95℃±5℃的油、水，30min）</w:t>
            </w:r>
          </w:p>
        </w:tc>
        <w:tc>
          <w:tcPr>
            <w:tcW w:w="243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GB/T 27589—2011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17</w:t>
            </w:r>
          </w:p>
        </w:tc>
        <w:tc>
          <w:tcPr>
            <w:tcW w:w="2197"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渗漏性能</w:t>
            </w:r>
            <w:r>
              <w:rPr>
                <w:rFonts w:hint="default" w:ascii="Times New Roman" w:hAnsi="Times New Roman" w:cs="Times New Roman"/>
                <w:color w:val="000000" w:themeColor="text1"/>
                <w:vertAlign w:val="superscript"/>
              </w:rPr>
              <w:t>d</w:t>
            </w:r>
          </w:p>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（90℃±5℃水、95℃±5℃油）</w:t>
            </w:r>
          </w:p>
        </w:tc>
        <w:tc>
          <w:tcPr>
            <w:tcW w:w="243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QB/T 2898—2007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 w:type="pct"/>
            <w:vAlign w:val="center"/>
          </w:tcPr>
          <w:p>
            <w:pPr>
              <w:adjustRightInd w:val="0"/>
              <w:snapToGrid w:val="0"/>
              <w:spacing w:before="62" w:beforeLines="20" w:after="62" w:afterLines="20"/>
              <w:jc w:val="center"/>
              <w:rPr>
                <w:rFonts w:hint="default" w:ascii="Times New Roman" w:hAnsi="Times New Roman" w:cs="Times New Roman" w:eastAsiaTheme="majorEastAsia"/>
                <w:color w:val="000000" w:themeColor="text1"/>
                <w:kern w:val="0"/>
              </w:rPr>
            </w:pPr>
            <w:r>
              <w:rPr>
                <w:rFonts w:hint="default" w:ascii="Times New Roman" w:hAnsi="Times New Roman" w:cs="Times New Roman" w:eastAsiaTheme="majorEastAsia"/>
                <w:color w:val="000000" w:themeColor="text1"/>
                <w:kern w:val="0"/>
              </w:rPr>
              <w:t>18</w:t>
            </w:r>
          </w:p>
        </w:tc>
        <w:tc>
          <w:tcPr>
            <w:tcW w:w="2197" w:type="pct"/>
            <w:vAlign w:val="center"/>
          </w:tcPr>
          <w:p>
            <w:pPr>
              <w:adjustRightInd w:val="0"/>
              <w:snapToGrid w:val="0"/>
              <w:spacing w:before="62" w:beforeLines="20" w:after="62" w:afterLines="20"/>
              <w:jc w:val="center"/>
              <w:rPr>
                <w:rFonts w:hint="default" w:ascii="Times New Roman" w:hAnsi="Times New Roman" w:cs="Times New Roman" w:eastAsiaTheme="majorEastAsia"/>
                <w:color w:val="000000" w:themeColor="text1"/>
              </w:rPr>
            </w:pPr>
            <w:r>
              <w:rPr>
                <w:rFonts w:hint="default" w:ascii="Times New Roman" w:hAnsi="Times New Roman" w:cs="Times New Roman" w:eastAsiaTheme="majorEastAsia"/>
                <w:color w:val="000000" w:themeColor="text1"/>
              </w:rPr>
              <w:t>耐温性能</w:t>
            </w:r>
            <w:r>
              <w:rPr>
                <w:rFonts w:hint="default" w:ascii="Times New Roman" w:hAnsi="Times New Roman" w:cs="Times New Roman" w:eastAsiaTheme="majorEastAsia"/>
                <w:color w:val="000000" w:themeColor="text1"/>
                <w:vertAlign w:val="superscript"/>
              </w:rPr>
              <w:t>e</w:t>
            </w:r>
          </w:p>
        </w:tc>
        <w:tc>
          <w:tcPr>
            <w:tcW w:w="2436" w:type="pct"/>
            <w:vAlign w:val="center"/>
          </w:tcPr>
          <w:p>
            <w:pPr>
              <w:adjustRightInd w:val="0"/>
              <w:snapToGrid w:val="0"/>
              <w:spacing w:before="62" w:beforeLines="20" w:after="62" w:afterLines="20"/>
              <w:jc w:val="center"/>
              <w:rPr>
                <w:rFonts w:hint="default" w:ascii="Times New Roman" w:hAnsi="Times New Roman" w:cs="Times New Roman" w:eastAsiaTheme="majorEastAsia"/>
                <w:color w:val="000000" w:themeColor="text1"/>
              </w:rPr>
            </w:pPr>
            <w:r>
              <w:rPr>
                <w:rFonts w:hint="default" w:ascii="Times New Roman" w:hAnsi="Times New Roman" w:cs="Times New Roman" w:eastAsiaTheme="majorEastAsia"/>
                <w:color w:val="000000" w:themeColor="text1"/>
              </w:rPr>
              <w:t>GB/T 36787—2018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 w:type="pct"/>
            <w:vAlign w:val="center"/>
          </w:tcPr>
          <w:p>
            <w:pPr>
              <w:adjustRightInd w:val="0"/>
              <w:snapToGrid w:val="0"/>
              <w:spacing w:before="62" w:beforeLines="20" w:after="62" w:afterLines="20"/>
              <w:jc w:val="center"/>
              <w:rPr>
                <w:rFonts w:hint="default" w:ascii="Times New Roman" w:hAnsi="Times New Roman" w:cs="Times New Roman" w:eastAsiaTheme="majorEastAsia"/>
                <w:color w:val="000000" w:themeColor="text1"/>
                <w:kern w:val="0"/>
                <w:lang w:val="en-US" w:eastAsia="zh-CN"/>
              </w:rPr>
            </w:pPr>
            <w:r>
              <w:rPr>
                <w:rFonts w:hint="eastAsia" w:ascii="Times New Roman" w:hAnsi="Times New Roman" w:cs="Times New Roman" w:eastAsiaTheme="majorEastAsia"/>
                <w:color w:val="000000" w:themeColor="text1"/>
                <w:kern w:val="0"/>
                <w:lang w:val="en-US" w:eastAsia="zh-CN"/>
              </w:rPr>
              <w:t>19</w:t>
            </w:r>
          </w:p>
        </w:tc>
        <w:tc>
          <w:tcPr>
            <w:tcW w:w="2197" w:type="pct"/>
            <w:vAlign w:val="center"/>
          </w:tcPr>
          <w:p>
            <w:pPr>
              <w:adjustRightInd w:val="0"/>
              <w:snapToGrid w:val="0"/>
              <w:spacing w:before="62" w:beforeLines="20" w:after="62" w:afterLines="20"/>
              <w:jc w:val="center"/>
              <w:rPr>
                <w:rFonts w:hint="default" w:ascii="Times New Roman" w:hAnsi="Times New Roman" w:cs="Times New Roman" w:eastAsiaTheme="majorEastAsia"/>
                <w:color w:val="000000" w:themeColor="text1"/>
              </w:rPr>
            </w:pPr>
            <w:r>
              <w:rPr>
                <w:rFonts w:hint="default" w:ascii="Times New Roman" w:hAnsi="Times New Roman" w:cs="Times New Roman" w:eastAsiaTheme="majorEastAsia"/>
                <w:color w:val="000000" w:themeColor="text1"/>
              </w:rPr>
              <w:t>抗压性能</w:t>
            </w:r>
            <w:r>
              <w:rPr>
                <w:rFonts w:hint="default" w:ascii="Times New Roman" w:hAnsi="Times New Roman" w:cs="Times New Roman" w:eastAsiaTheme="majorEastAsia"/>
                <w:color w:val="000000" w:themeColor="text1"/>
                <w:vertAlign w:val="superscript"/>
              </w:rPr>
              <w:t>e</w:t>
            </w:r>
          </w:p>
        </w:tc>
        <w:tc>
          <w:tcPr>
            <w:tcW w:w="2436" w:type="pct"/>
            <w:vAlign w:val="center"/>
          </w:tcPr>
          <w:p>
            <w:pPr>
              <w:adjustRightInd w:val="0"/>
              <w:snapToGrid w:val="0"/>
              <w:spacing w:before="62" w:beforeLines="20" w:after="62" w:afterLines="20"/>
              <w:jc w:val="center"/>
              <w:rPr>
                <w:rFonts w:hint="default" w:ascii="Times New Roman" w:hAnsi="Times New Roman" w:cs="Times New Roman" w:eastAsiaTheme="majorEastAsia"/>
                <w:color w:val="000000" w:themeColor="text1"/>
              </w:rPr>
            </w:pPr>
            <w:r>
              <w:rPr>
                <w:rFonts w:hint="default" w:ascii="Times New Roman" w:hAnsi="Times New Roman" w:cs="Times New Roman" w:eastAsiaTheme="majorEastAsia"/>
                <w:color w:val="000000" w:themeColor="text1"/>
              </w:rPr>
              <w:t>GB/T 36787—2018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5" w:type="pct"/>
            <w:vAlign w:val="center"/>
          </w:tcPr>
          <w:p>
            <w:pPr>
              <w:adjustRightInd w:val="0"/>
              <w:snapToGrid w:val="0"/>
              <w:spacing w:before="62" w:beforeLines="20" w:after="62" w:afterLines="20"/>
              <w:jc w:val="center"/>
              <w:rPr>
                <w:rFonts w:hint="default" w:ascii="Times New Roman" w:hAnsi="Times New Roman" w:cs="Times New Roman" w:eastAsiaTheme="majorEastAsia"/>
                <w:color w:val="000000" w:themeColor="text1"/>
                <w:kern w:val="0"/>
                <w:lang w:val="en-US" w:eastAsia="zh-CN"/>
              </w:rPr>
            </w:pPr>
            <w:r>
              <w:rPr>
                <w:rFonts w:hint="eastAsia" w:ascii="Times New Roman" w:hAnsi="Times New Roman" w:cs="Times New Roman" w:eastAsiaTheme="majorEastAsia"/>
                <w:color w:val="000000" w:themeColor="text1"/>
                <w:kern w:val="0"/>
                <w:lang w:val="en-US" w:eastAsia="zh-CN"/>
              </w:rPr>
              <w:t>20</w:t>
            </w:r>
          </w:p>
        </w:tc>
        <w:tc>
          <w:tcPr>
            <w:tcW w:w="2197" w:type="pct"/>
            <w:vAlign w:val="center"/>
          </w:tcPr>
          <w:p>
            <w:pPr>
              <w:adjustRightInd w:val="0"/>
              <w:snapToGrid w:val="0"/>
              <w:spacing w:before="62" w:beforeLines="20" w:after="62" w:afterLines="20"/>
              <w:jc w:val="center"/>
              <w:rPr>
                <w:rFonts w:hint="eastAsia" w:ascii="Times New Roman" w:hAnsi="Times New Roman" w:eastAsia="宋体" w:cs="Times New Roman"/>
                <w:color w:val="000000" w:themeColor="text1"/>
                <w:lang w:val="en-US" w:eastAsia="zh-CN"/>
              </w:rPr>
            </w:pPr>
            <w:r>
              <w:rPr>
                <w:rFonts w:hint="default" w:ascii="Times New Roman" w:hAnsi="Times New Roman" w:cs="Times New Roman"/>
                <w:color w:val="000000" w:themeColor="text1"/>
              </w:rPr>
              <w:t>负重性能</w:t>
            </w:r>
            <w:r>
              <w:rPr>
                <w:rFonts w:hint="eastAsia" w:ascii="Times New Roman" w:hAnsi="Times New Roman" w:cs="Times New Roman"/>
                <w:color w:val="000000" w:themeColor="text1"/>
                <w:vertAlign w:val="superscript"/>
                <w:lang w:val="en-US" w:eastAsia="zh-CN"/>
              </w:rPr>
              <w:t>f</w:t>
            </w:r>
          </w:p>
        </w:tc>
        <w:tc>
          <w:tcPr>
            <w:tcW w:w="243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GB/T27589—2011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0" w:type="pct"/>
            <w:gridSpan w:val="3"/>
          </w:tcPr>
          <w:p>
            <w:pPr>
              <w:adjustRightInd w:val="0"/>
              <w:snapToGrid w:val="0"/>
              <w:spacing w:before="62" w:beforeLines="20" w:after="62" w:afterLines="20"/>
              <w:jc w:val="left"/>
              <w:rPr>
                <w:rFonts w:hint="default" w:ascii="Times New Roman" w:hAnsi="Times New Roman" w:cs="Times New Roman"/>
                <w:color w:val="000000" w:themeColor="text1"/>
              </w:rPr>
            </w:pPr>
            <w:r>
              <w:rPr>
                <w:rFonts w:hint="default" w:ascii="Times New Roman" w:hAnsi="Times New Roman" w:cs="Times New Roman"/>
                <w:color w:val="000000" w:themeColor="text1"/>
              </w:rPr>
              <w:t>注：</w:t>
            </w:r>
          </w:p>
          <w:p>
            <w:pPr>
              <w:adjustRightInd w:val="0"/>
              <w:snapToGrid w:val="0"/>
              <w:spacing w:before="62" w:beforeLines="20" w:after="62" w:afterLines="20"/>
              <w:jc w:val="left"/>
              <w:rPr>
                <w:rFonts w:hint="default" w:ascii="Times New Roman" w:hAnsi="Times New Roman" w:cs="Times New Roman"/>
                <w:color w:val="000000" w:themeColor="text1"/>
              </w:rPr>
            </w:pPr>
            <w:r>
              <w:rPr>
                <w:rFonts w:hint="default" w:ascii="Times New Roman" w:hAnsi="Times New Roman" w:cs="Times New Roman"/>
                <w:color w:val="000000" w:themeColor="text1"/>
              </w:rPr>
              <w:t>a适用于淋（覆）膜、涂层产品。</w:t>
            </w:r>
          </w:p>
          <w:p>
            <w:pPr>
              <w:adjustRightInd w:val="0"/>
              <w:snapToGrid w:val="0"/>
              <w:spacing w:before="62" w:beforeLines="20" w:after="62" w:afterLines="20"/>
              <w:jc w:val="left"/>
              <w:rPr>
                <w:rFonts w:hint="default" w:ascii="Times New Roman" w:hAnsi="Times New Roman" w:cs="Times New Roman"/>
                <w:color w:val="000000" w:themeColor="text1"/>
              </w:rPr>
            </w:pPr>
            <w:r>
              <w:rPr>
                <w:rFonts w:hint="default" w:ascii="Times New Roman" w:hAnsi="Times New Roman" w:cs="Times New Roman"/>
                <w:color w:val="000000" w:themeColor="text1"/>
              </w:rPr>
              <w:t>b适用于执行标准为GB/T 27591—2011</w:t>
            </w:r>
            <w:r>
              <w:rPr>
                <w:rFonts w:hint="eastAsia" w:ascii="Times New Roman" w:hAnsi="Times New Roman" w:cs="Times New Roman"/>
                <w:color w:val="000000" w:themeColor="text1"/>
                <w:lang w:eastAsia="zh-CN"/>
              </w:rPr>
              <w:t>、</w:t>
            </w:r>
            <w:r>
              <w:rPr>
                <w:rFonts w:hint="default" w:ascii="Times New Roman" w:hAnsi="Times New Roman" w:cs="Times New Roman"/>
                <w:color w:val="000000" w:themeColor="text1"/>
              </w:rPr>
              <w:t>GB/T 27591—</w:t>
            </w:r>
            <w:r>
              <w:rPr>
                <w:rFonts w:hint="eastAsia" w:ascii="Times New Roman" w:hAnsi="Times New Roman" w:cs="Times New Roman"/>
                <w:color w:val="000000" w:themeColor="text1"/>
                <w:lang w:val="en-US" w:eastAsia="zh-CN"/>
              </w:rPr>
              <w:t>2025</w:t>
            </w:r>
            <w:r>
              <w:rPr>
                <w:rFonts w:hint="default" w:ascii="Times New Roman" w:hAnsi="Times New Roman" w:cs="Times New Roman"/>
                <w:color w:val="000000" w:themeColor="text1"/>
              </w:rPr>
              <w:t>的淋（覆）膜纸碗。</w:t>
            </w:r>
          </w:p>
          <w:p>
            <w:pPr>
              <w:adjustRightInd w:val="0"/>
              <w:snapToGrid w:val="0"/>
              <w:spacing w:before="62" w:beforeLines="20" w:after="62" w:afterLines="20"/>
              <w:jc w:val="left"/>
              <w:rPr>
                <w:rFonts w:hint="default" w:ascii="Times New Roman" w:hAnsi="Times New Roman" w:cs="Times New Roman"/>
                <w:color w:val="000000" w:themeColor="text1"/>
              </w:rPr>
            </w:pPr>
            <w:r>
              <w:rPr>
                <w:rFonts w:hint="default" w:ascii="Times New Roman" w:hAnsi="Times New Roman" w:cs="Times New Roman"/>
                <w:color w:val="000000" w:themeColor="text1"/>
              </w:rPr>
              <w:t>c适用于执行标准为GB/T 27589—2011的淋膜纸餐盒。</w:t>
            </w:r>
          </w:p>
          <w:p>
            <w:pPr>
              <w:adjustRightInd w:val="0"/>
              <w:snapToGrid w:val="0"/>
              <w:spacing w:before="62" w:beforeLines="20" w:after="62" w:afterLines="20"/>
              <w:jc w:val="left"/>
              <w:rPr>
                <w:rFonts w:hint="default" w:ascii="Times New Roman" w:hAnsi="Times New Roman" w:cs="Times New Roman"/>
                <w:color w:val="000000" w:themeColor="text1"/>
              </w:rPr>
            </w:pPr>
            <w:r>
              <w:rPr>
                <w:rFonts w:hint="default" w:ascii="Times New Roman" w:hAnsi="Times New Roman" w:cs="Times New Roman"/>
                <w:color w:val="000000" w:themeColor="text1"/>
              </w:rPr>
              <w:t>d适用于执行标准为QB/T 2898—2007的餐用纸制品。</w:t>
            </w:r>
          </w:p>
          <w:p>
            <w:pPr>
              <w:adjustRightInd w:val="0"/>
              <w:snapToGrid w:val="0"/>
              <w:spacing w:before="62" w:beforeLines="20" w:after="62" w:afterLines="20"/>
              <w:jc w:val="left"/>
              <w:rPr>
                <w:rFonts w:hint="default" w:ascii="Times New Roman" w:hAnsi="Times New Roman" w:cs="Times New Roman" w:eastAsiaTheme="majorEastAsia"/>
                <w:color w:val="000000" w:themeColor="text1"/>
              </w:rPr>
            </w:pPr>
            <w:r>
              <w:rPr>
                <w:rFonts w:hint="default" w:ascii="Times New Roman" w:hAnsi="Times New Roman" w:cs="Times New Roman"/>
                <w:color w:val="000000" w:themeColor="text1"/>
              </w:rPr>
              <w:t>e适用于执行标准为</w:t>
            </w:r>
            <w:r>
              <w:rPr>
                <w:rFonts w:hint="default" w:ascii="Times New Roman" w:hAnsi="Times New Roman" w:cs="Times New Roman" w:eastAsiaTheme="majorEastAsia"/>
                <w:color w:val="000000" w:themeColor="text1"/>
              </w:rPr>
              <w:t>GB/T 36787—2018的纸浆模塑餐具。</w:t>
            </w:r>
          </w:p>
          <w:p>
            <w:pPr>
              <w:adjustRightInd w:val="0"/>
              <w:snapToGrid w:val="0"/>
              <w:spacing w:before="62" w:beforeLines="20" w:after="62" w:afterLines="20"/>
              <w:jc w:val="left"/>
              <w:rPr>
                <w:rFonts w:hint="default" w:ascii="Times New Roman" w:hAnsi="Times New Roman" w:eastAsia="宋体" w:cs="Times New Roman"/>
                <w:color w:val="000000" w:themeColor="text1"/>
                <w:lang w:val="en-US" w:eastAsia="zh-CN"/>
              </w:rPr>
            </w:pPr>
            <w:r>
              <w:rPr>
                <w:rFonts w:hint="eastAsia" w:ascii="Times New Roman" w:hAnsi="Times New Roman" w:cs="Times New Roman" w:eastAsiaTheme="majorEastAsia"/>
                <w:color w:val="000000" w:themeColor="text1"/>
                <w:lang w:val="en-US" w:eastAsia="zh-CN"/>
              </w:rPr>
              <w:t>f适用于</w:t>
            </w:r>
            <w:r>
              <w:rPr>
                <w:rFonts w:hint="default" w:ascii="Times New Roman" w:hAnsi="Times New Roman" w:cs="Times New Roman"/>
                <w:color w:val="000000" w:themeColor="text1"/>
              </w:rPr>
              <w:t>执行标准为GB/T 27589—2011的淋膜纸餐盒</w:t>
            </w:r>
            <w:r>
              <w:rPr>
                <w:rFonts w:hint="eastAsia" w:ascii="Times New Roman" w:hAnsi="Times New Roman" w:cs="Times New Roman"/>
                <w:color w:val="000000" w:themeColor="text1"/>
                <w:lang w:val="en-US" w:eastAsia="zh-CN"/>
              </w:rPr>
              <w:t>生产领域抽查的样品。</w:t>
            </w:r>
          </w:p>
        </w:tc>
      </w:tr>
    </w:tbl>
    <w:p>
      <w:pPr>
        <w:rPr>
          <w:rFonts w:hint="default" w:ascii="Times New Roman" w:hAnsi="Times New Roman" w:cs="Times New Roman"/>
          <w:color w:val="000000" w:themeColor="text1"/>
        </w:rPr>
      </w:pPr>
    </w:p>
    <w:p>
      <w:pPr>
        <w:adjustRightInd w:val="0"/>
        <w:snapToGrid w:val="0"/>
        <w:spacing w:line="360" w:lineRule="auto"/>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表3 纸盒</w:t>
      </w:r>
    </w:p>
    <w:tbl>
      <w:tblPr>
        <w:tblStyle w:val="8"/>
        <w:tblW w:w="48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7"/>
        <w:gridCol w:w="3790"/>
        <w:gridCol w:w="4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373" w:type="pct"/>
            <w:vAlign w:val="center"/>
          </w:tcPr>
          <w:p>
            <w:pPr>
              <w:adjustRightInd w:val="0"/>
              <w:snapToGrid w:val="0"/>
              <w:spacing w:before="62" w:beforeLines="20" w:after="62" w:afterLines="20"/>
              <w:jc w:val="center"/>
              <w:rPr>
                <w:rFonts w:hint="eastAsia" w:ascii="黑体" w:hAnsi="黑体" w:eastAsia="黑体" w:cs="黑体"/>
                <w:color w:val="000000" w:themeColor="text1"/>
              </w:rPr>
            </w:pPr>
            <w:r>
              <w:rPr>
                <w:rFonts w:hint="eastAsia" w:ascii="黑体" w:hAnsi="黑体" w:eastAsia="黑体" w:cs="黑体"/>
                <w:color w:val="000000" w:themeColor="text1"/>
              </w:rPr>
              <w:t>序号</w:t>
            </w:r>
          </w:p>
        </w:tc>
        <w:tc>
          <w:tcPr>
            <w:tcW w:w="2120" w:type="pct"/>
            <w:vAlign w:val="center"/>
          </w:tcPr>
          <w:p>
            <w:pPr>
              <w:adjustRightInd w:val="0"/>
              <w:snapToGrid w:val="0"/>
              <w:spacing w:before="62" w:beforeLines="20" w:after="62" w:afterLines="20"/>
              <w:jc w:val="center"/>
              <w:rPr>
                <w:rFonts w:hint="eastAsia" w:ascii="黑体" w:hAnsi="黑体" w:eastAsia="黑体" w:cs="黑体"/>
                <w:color w:val="000000" w:themeColor="text1"/>
              </w:rPr>
            </w:pPr>
            <w:r>
              <w:rPr>
                <w:rFonts w:hint="eastAsia" w:ascii="黑体" w:hAnsi="黑体" w:eastAsia="黑体" w:cs="黑体"/>
                <w:color w:val="000000" w:themeColor="text1"/>
              </w:rPr>
              <w:t>检验项目</w:t>
            </w:r>
          </w:p>
        </w:tc>
        <w:tc>
          <w:tcPr>
            <w:tcW w:w="2507" w:type="pct"/>
            <w:vAlign w:val="center"/>
          </w:tcPr>
          <w:p>
            <w:pPr>
              <w:adjustRightInd w:val="0"/>
              <w:snapToGrid w:val="0"/>
              <w:spacing w:before="62" w:beforeLines="20" w:after="62" w:afterLines="20"/>
              <w:jc w:val="center"/>
              <w:rPr>
                <w:rFonts w:hint="eastAsia" w:ascii="黑体" w:hAnsi="黑体" w:eastAsia="黑体" w:cs="黑体"/>
                <w:color w:val="000000" w:themeColor="text1"/>
              </w:rPr>
            </w:pPr>
            <w:r>
              <w:rPr>
                <w:rFonts w:hint="eastAsia" w:ascii="黑体" w:hAnsi="黑体" w:eastAsia="黑体" w:cs="黑体"/>
                <w:color w:val="000000" w:themeColor="text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373"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rPr>
              <w:t>1</w:t>
            </w:r>
          </w:p>
        </w:tc>
        <w:tc>
          <w:tcPr>
            <w:tcW w:w="2120"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感官要求</w:t>
            </w:r>
          </w:p>
        </w:tc>
        <w:tc>
          <w:tcPr>
            <w:tcW w:w="2507"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73"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2</w:t>
            </w:r>
          </w:p>
        </w:tc>
        <w:tc>
          <w:tcPr>
            <w:tcW w:w="2120"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总迁移量</w:t>
            </w:r>
          </w:p>
        </w:tc>
        <w:tc>
          <w:tcPr>
            <w:tcW w:w="2507"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373"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3</w:t>
            </w:r>
          </w:p>
        </w:tc>
        <w:tc>
          <w:tcPr>
            <w:tcW w:w="2120"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高锰酸钾消耗量</w:t>
            </w:r>
            <w:r>
              <w:rPr>
                <w:rFonts w:hint="default" w:ascii="Times New Roman" w:hAnsi="Times New Roman" w:cs="Times New Roman"/>
                <w:color w:val="000000" w:themeColor="text1"/>
                <w:vertAlign w:val="superscript"/>
              </w:rPr>
              <w:t>a</w:t>
            </w:r>
          </w:p>
        </w:tc>
        <w:tc>
          <w:tcPr>
            <w:tcW w:w="2507"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73"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4</w:t>
            </w:r>
          </w:p>
        </w:tc>
        <w:tc>
          <w:tcPr>
            <w:tcW w:w="2120"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重金属（以Pb计）</w:t>
            </w:r>
          </w:p>
        </w:tc>
        <w:tc>
          <w:tcPr>
            <w:tcW w:w="2507"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373"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rPr>
              <w:t>5</w:t>
            </w:r>
          </w:p>
        </w:tc>
        <w:tc>
          <w:tcPr>
            <w:tcW w:w="2120"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铅（Pb）</w:t>
            </w:r>
          </w:p>
        </w:tc>
        <w:tc>
          <w:tcPr>
            <w:tcW w:w="2507"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31604.34—2016</w:t>
            </w:r>
          </w:p>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73"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rPr>
              <w:t>6</w:t>
            </w:r>
          </w:p>
        </w:tc>
        <w:tc>
          <w:tcPr>
            <w:tcW w:w="2120"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砷（As）</w:t>
            </w:r>
          </w:p>
        </w:tc>
        <w:tc>
          <w:tcPr>
            <w:tcW w:w="2507"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31604.38—2016</w:t>
            </w:r>
          </w:p>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373"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rPr>
              <w:t>7</w:t>
            </w:r>
          </w:p>
        </w:tc>
        <w:tc>
          <w:tcPr>
            <w:tcW w:w="2120"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荧光性物质</w:t>
            </w:r>
          </w:p>
        </w:tc>
        <w:tc>
          <w:tcPr>
            <w:tcW w:w="2507"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31604.47—2023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73"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rPr>
              <w:t>8</w:t>
            </w:r>
          </w:p>
        </w:tc>
        <w:tc>
          <w:tcPr>
            <w:tcW w:w="2120"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甲醛</w:t>
            </w:r>
          </w:p>
        </w:tc>
        <w:tc>
          <w:tcPr>
            <w:tcW w:w="2507"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4806.8—2022</w:t>
            </w:r>
          </w:p>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373"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9</w:t>
            </w:r>
          </w:p>
        </w:tc>
        <w:tc>
          <w:tcPr>
            <w:tcW w:w="2120" w:type="pct"/>
            <w:vAlign w:val="center"/>
          </w:tcPr>
          <w:p>
            <w:pPr>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1,3-二氯-2-丙醇</w:t>
            </w:r>
          </w:p>
        </w:tc>
        <w:tc>
          <w:tcPr>
            <w:tcW w:w="2507"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3"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10</w:t>
            </w:r>
          </w:p>
        </w:tc>
        <w:tc>
          <w:tcPr>
            <w:tcW w:w="2120" w:type="pct"/>
            <w:vAlign w:val="center"/>
          </w:tcPr>
          <w:p>
            <w:pPr>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3-氯-1,2-丙二醇</w:t>
            </w:r>
          </w:p>
        </w:tc>
        <w:tc>
          <w:tcPr>
            <w:tcW w:w="2507"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373"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11</w:t>
            </w:r>
          </w:p>
        </w:tc>
        <w:tc>
          <w:tcPr>
            <w:tcW w:w="2120"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大肠菌群</w:t>
            </w:r>
          </w:p>
        </w:tc>
        <w:tc>
          <w:tcPr>
            <w:tcW w:w="2507"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3"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12</w:t>
            </w:r>
          </w:p>
        </w:tc>
        <w:tc>
          <w:tcPr>
            <w:tcW w:w="2120"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沙门氏菌</w:t>
            </w:r>
          </w:p>
        </w:tc>
        <w:tc>
          <w:tcPr>
            <w:tcW w:w="2507"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373"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13</w:t>
            </w:r>
          </w:p>
        </w:tc>
        <w:tc>
          <w:tcPr>
            <w:tcW w:w="2120"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霉菌</w:t>
            </w:r>
          </w:p>
        </w:tc>
        <w:tc>
          <w:tcPr>
            <w:tcW w:w="2507"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4806.8—2022</w:t>
            </w:r>
          </w:p>
          <w:p>
            <w:pPr>
              <w:adjustRightInd w:val="0"/>
              <w:snapToGrid w:val="0"/>
              <w:spacing w:before="62" w:beforeLines="20" w:after="62" w:afterLines="20"/>
              <w:jc w:val="center"/>
              <w:rPr>
                <w:rFonts w:hint="default" w:ascii="Times New Roman" w:hAnsi="Times New Roman" w:cs="Times New Roman"/>
                <w:color w:val="000000" w:themeColor="text1"/>
                <w:sz w:val="18"/>
                <w:szCs w:val="18"/>
              </w:rPr>
            </w:pPr>
            <w:r>
              <w:rPr>
                <w:rFonts w:hint="default" w:ascii="Times New Roman" w:hAnsi="Times New Roman" w:cs="Times New Roman"/>
                <w:color w:val="000000" w:themeColor="text1"/>
              </w:rPr>
              <w:t>GB 4789.15—2016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3"/>
          </w:tcPr>
          <w:p>
            <w:pPr>
              <w:adjustRightInd w:val="0"/>
              <w:snapToGrid w:val="0"/>
              <w:spacing w:before="62" w:beforeLines="20" w:after="62" w:afterLines="20"/>
              <w:rPr>
                <w:rFonts w:hint="default" w:ascii="Times New Roman" w:hAnsi="Times New Roman" w:cs="Times New Roman"/>
                <w:color w:val="000000" w:themeColor="text1"/>
                <w:sz w:val="18"/>
              </w:rPr>
            </w:pPr>
            <w:r>
              <w:rPr>
                <w:rFonts w:hint="default" w:ascii="Times New Roman" w:hAnsi="Times New Roman" w:cs="Times New Roman"/>
                <w:color w:val="000000" w:themeColor="text1"/>
              </w:rPr>
              <w:t>注：a适用于淋（覆）膜、涂层产品。</w:t>
            </w:r>
          </w:p>
        </w:tc>
      </w:tr>
    </w:tbl>
    <w:p>
      <w:pPr>
        <w:jc w:val="left"/>
        <w:rPr>
          <w:rFonts w:hint="default" w:ascii="Times New Roman" w:hAnsi="Times New Roman" w:cs="Times New Roman"/>
          <w:color w:val="000000" w:themeColor="text1"/>
        </w:rPr>
      </w:pPr>
    </w:p>
    <w:p>
      <w:pPr>
        <w:adjustRightInd w:val="0"/>
        <w:snapToGrid w:val="0"/>
        <w:spacing w:line="360" w:lineRule="auto"/>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表4 纸袋</w:t>
      </w:r>
    </w:p>
    <w:tbl>
      <w:tblPr>
        <w:tblStyle w:val="8"/>
        <w:tblW w:w="485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8"/>
        <w:gridCol w:w="3898"/>
        <w:gridCol w:w="4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386" w:type="pct"/>
            <w:vAlign w:val="center"/>
          </w:tcPr>
          <w:p>
            <w:pPr>
              <w:adjustRightInd w:val="0"/>
              <w:snapToGrid w:val="0"/>
              <w:spacing w:before="62" w:beforeLines="20" w:after="62" w:afterLines="20"/>
              <w:jc w:val="center"/>
              <w:rPr>
                <w:rFonts w:hint="eastAsia" w:ascii="黑体" w:hAnsi="黑体" w:eastAsia="黑体" w:cs="黑体"/>
                <w:color w:val="000000" w:themeColor="text1"/>
              </w:rPr>
            </w:pPr>
            <w:r>
              <w:rPr>
                <w:rFonts w:hint="eastAsia" w:ascii="黑体" w:hAnsi="黑体" w:eastAsia="黑体" w:cs="黑体"/>
                <w:color w:val="000000" w:themeColor="text1"/>
              </w:rPr>
              <w:t>序号</w:t>
            </w:r>
          </w:p>
        </w:tc>
        <w:tc>
          <w:tcPr>
            <w:tcW w:w="2186" w:type="pct"/>
            <w:vAlign w:val="center"/>
          </w:tcPr>
          <w:p>
            <w:pPr>
              <w:adjustRightInd w:val="0"/>
              <w:snapToGrid w:val="0"/>
              <w:spacing w:before="62" w:beforeLines="20" w:after="62" w:afterLines="20"/>
              <w:jc w:val="center"/>
              <w:rPr>
                <w:rFonts w:hint="eastAsia" w:ascii="黑体" w:hAnsi="黑体" w:eastAsia="黑体" w:cs="黑体"/>
                <w:color w:val="000000" w:themeColor="text1"/>
              </w:rPr>
            </w:pPr>
            <w:r>
              <w:rPr>
                <w:rFonts w:hint="eastAsia" w:ascii="黑体" w:hAnsi="黑体" w:eastAsia="黑体" w:cs="黑体"/>
                <w:color w:val="000000" w:themeColor="text1"/>
              </w:rPr>
              <w:t>检验项目</w:t>
            </w:r>
          </w:p>
        </w:tc>
        <w:tc>
          <w:tcPr>
            <w:tcW w:w="2428" w:type="pct"/>
            <w:vAlign w:val="center"/>
          </w:tcPr>
          <w:p>
            <w:pPr>
              <w:adjustRightInd w:val="0"/>
              <w:snapToGrid w:val="0"/>
              <w:spacing w:before="62" w:beforeLines="20" w:after="62" w:afterLines="20"/>
              <w:jc w:val="center"/>
              <w:rPr>
                <w:rFonts w:hint="eastAsia" w:ascii="黑体" w:hAnsi="黑体" w:eastAsia="黑体" w:cs="黑体"/>
                <w:color w:val="000000" w:themeColor="text1"/>
              </w:rPr>
            </w:pPr>
            <w:r>
              <w:rPr>
                <w:rFonts w:hint="eastAsia" w:ascii="黑体" w:hAnsi="黑体" w:eastAsia="黑体" w:cs="黑体"/>
                <w:color w:val="000000" w:themeColor="text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rPr>
              <w:t>1</w:t>
            </w:r>
          </w:p>
        </w:tc>
        <w:tc>
          <w:tcPr>
            <w:tcW w:w="218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感官要求</w:t>
            </w:r>
          </w:p>
        </w:tc>
        <w:tc>
          <w:tcPr>
            <w:tcW w:w="2428"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8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2</w:t>
            </w:r>
          </w:p>
        </w:tc>
        <w:tc>
          <w:tcPr>
            <w:tcW w:w="218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总迁移量</w:t>
            </w:r>
          </w:p>
        </w:tc>
        <w:tc>
          <w:tcPr>
            <w:tcW w:w="2428"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38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3</w:t>
            </w:r>
          </w:p>
        </w:tc>
        <w:tc>
          <w:tcPr>
            <w:tcW w:w="218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高锰酸钾消耗量</w:t>
            </w:r>
            <w:r>
              <w:rPr>
                <w:rFonts w:hint="default" w:ascii="Times New Roman" w:hAnsi="Times New Roman" w:cs="Times New Roman"/>
                <w:color w:val="000000" w:themeColor="text1"/>
                <w:vertAlign w:val="superscript"/>
              </w:rPr>
              <w:t>a</w:t>
            </w:r>
          </w:p>
        </w:tc>
        <w:tc>
          <w:tcPr>
            <w:tcW w:w="2428"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8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4</w:t>
            </w:r>
          </w:p>
        </w:tc>
        <w:tc>
          <w:tcPr>
            <w:tcW w:w="218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重金属（以Pb计）</w:t>
            </w:r>
          </w:p>
        </w:tc>
        <w:tc>
          <w:tcPr>
            <w:tcW w:w="2428"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8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rPr>
              <w:t>5</w:t>
            </w:r>
          </w:p>
        </w:tc>
        <w:tc>
          <w:tcPr>
            <w:tcW w:w="218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铅（Pb）</w:t>
            </w:r>
          </w:p>
        </w:tc>
        <w:tc>
          <w:tcPr>
            <w:tcW w:w="2428"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31604.34—2016</w:t>
            </w:r>
          </w:p>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8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rPr>
              <w:t>6</w:t>
            </w:r>
          </w:p>
        </w:tc>
        <w:tc>
          <w:tcPr>
            <w:tcW w:w="218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砷（As）</w:t>
            </w:r>
          </w:p>
        </w:tc>
        <w:tc>
          <w:tcPr>
            <w:tcW w:w="2428"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31604.38—2016</w:t>
            </w:r>
          </w:p>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38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rPr>
              <w:t>7</w:t>
            </w:r>
          </w:p>
        </w:tc>
        <w:tc>
          <w:tcPr>
            <w:tcW w:w="218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荧光性物质</w:t>
            </w:r>
          </w:p>
        </w:tc>
        <w:tc>
          <w:tcPr>
            <w:tcW w:w="2428"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31604.47—2023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8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rPr>
              <w:t>8</w:t>
            </w:r>
          </w:p>
        </w:tc>
        <w:tc>
          <w:tcPr>
            <w:tcW w:w="218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甲醛</w:t>
            </w:r>
          </w:p>
        </w:tc>
        <w:tc>
          <w:tcPr>
            <w:tcW w:w="2428"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4806.8—2022</w:t>
            </w:r>
          </w:p>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9</w:t>
            </w:r>
          </w:p>
        </w:tc>
        <w:tc>
          <w:tcPr>
            <w:tcW w:w="2186" w:type="pct"/>
            <w:vAlign w:val="center"/>
          </w:tcPr>
          <w:p>
            <w:pPr>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1,3-二氯-2-丙醇</w:t>
            </w:r>
          </w:p>
        </w:tc>
        <w:tc>
          <w:tcPr>
            <w:tcW w:w="2428"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10</w:t>
            </w:r>
          </w:p>
        </w:tc>
        <w:tc>
          <w:tcPr>
            <w:tcW w:w="2186" w:type="pct"/>
            <w:vAlign w:val="center"/>
          </w:tcPr>
          <w:p>
            <w:pPr>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3-氯-1,2-丙二醇</w:t>
            </w:r>
          </w:p>
        </w:tc>
        <w:tc>
          <w:tcPr>
            <w:tcW w:w="2428"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38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11</w:t>
            </w:r>
          </w:p>
        </w:tc>
        <w:tc>
          <w:tcPr>
            <w:tcW w:w="218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大肠菌群</w:t>
            </w:r>
          </w:p>
        </w:tc>
        <w:tc>
          <w:tcPr>
            <w:tcW w:w="2428"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12</w:t>
            </w:r>
          </w:p>
        </w:tc>
        <w:tc>
          <w:tcPr>
            <w:tcW w:w="218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沙门氏菌</w:t>
            </w:r>
          </w:p>
        </w:tc>
        <w:tc>
          <w:tcPr>
            <w:tcW w:w="2428"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8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13</w:t>
            </w:r>
          </w:p>
        </w:tc>
        <w:tc>
          <w:tcPr>
            <w:tcW w:w="218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霉菌</w:t>
            </w:r>
          </w:p>
        </w:tc>
        <w:tc>
          <w:tcPr>
            <w:tcW w:w="2428"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4806.8—2022</w:t>
            </w:r>
          </w:p>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4789.15—2016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000" w:type="pct"/>
            <w:gridSpan w:val="3"/>
            <w:vAlign w:val="center"/>
          </w:tcPr>
          <w:p>
            <w:pPr>
              <w:adjustRightInd w:val="0"/>
              <w:snapToGrid w:val="0"/>
              <w:spacing w:before="62" w:beforeLines="20" w:after="62" w:afterLines="20"/>
              <w:jc w:val="left"/>
              <w:rPr>
                <w:rFonts w:hint="default" w:ascii="Times New Roman" w:hAnsi="Times New Roman" w:cs="Times New Roman"/>
                <w:color w:val="000000" w:themeColor="text1"/>
              </w:rPr>
            </w:pPr>
            <w:r>
              <w:rPr>
                <w:rFonts w:hint="default" w:ascii="Times New Roman" w:hAnsi="Times New Roman" w:cs="Times New Roman"/>
                <w:color w:val="000000" w:themeColor="text1"/>
              </w:rPr>
              <w:t>注：a适用于淋（覆）膜、涂层产品。</w:t>
            </w:r>
          </w:p>
        </w:tc>
      </w:tr>
    </w:tbl>
    <w:p>
      <w:pPr>
        <w:adjustRightInd w:val="0"/>
        <w:snapToGrid w:val="0"/>
        <w:spacing w:line="360" w:lineRule="auto"/>
        <w:jc w:val="center"/>
        <w:rPr>
          <w:rFonts w:hint="default" w:ascii="Times New Roman" w:hAnsi="Times New Roman" w:cs="Times New Roman"/>
          <w:color w:val="000000" w:themeColor="text1"/>
        </w:rPr>
      </w:pPr>
    </w:p>
    <w:p>
      <w:pPr>
        <w:adjustRightInd w:val="0"/>
        <w:snapToGrid w:val="0"/>
        <w:spacing w:line="360" w:lineRule="auto"/>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表5 纸罐（纸板类罐）</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0"/>
        <w:gridCol w:w="4144"/>
        <w:gridCol w:w="4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45" w:type="pct"/>
            <w:vAlign w:val="center"/>
          </w:tcPr>
          <w:p>
            <w:pPr>
              <w:adjustRightInd w:val="0"/>
              <w:snapToGrid w:val="0"/>
              <w:spacing w:before="62" w:beforeLines="20" w:after="62" w:afterLines="20"/>
              <w:jc w:val="center"/>
              <w:rPr>
                <w:rFonts w:hint="eastAsia" w:ascii="黑体" w:hAnsi="黑体" w:eastAsia="黑体" w:cs="黑体"/>
                <w:color w:val="000000" w:themeColor="text1"/>
              </w:rPr>
            </w:pPr>
            <w:r>
              <w:rPr>
                <w:rFonts w:hint="eastAsia" w:ascii="黑体" w:hAnsi="黑体" w:eastAsia="黑体" w:cs="黑体"/>
                <w:color w:val="000000" w:themeColor="text1"/>
              </w:rPr>
              <w:t>序号</w:t>
            </w:r>
          </w:p>
        </w:tc>
        <w:tc>
          <w:tcPr>
            <w:tcW w:w="2258" w:type="pct"/>
            <w:vAlign w:val="center"/>
          </w:tcPr>
          <w:p>
            <w:pPr>
              <w:adjustRightInd w:val="0"/>
              <w:snapToGrid w:val="0"/>
              <w:spacing w:before="62" w:beforeLines="20" w:after="62" w:afterLines="20"/>
              <w:jc w:val="center"/>
              <w:rPr>
                <w:rFonts w:hint="eastAsia" w:ascii="黑体" w:hAnsi="黑体" w:eastAsia="黑体" w:cs="黑体"/>
                <w:color w:val="000000" w:themeColor="text1"/>
              </w:rPr>
            </w:pPr>
            <w:r>
              <w:rPr>
                <w:rFonts w:hint="eastAsia" w:ascii="黑体" w:hAnsi="黑体" w:eastAsia="黑体" w:cs="黑体"/>
                <w:color w:val="000000" w:themeColor="text1"/>
              </w:rPr>
              <w:t>检验项目</w:t>
            </w:r>
          </w:p>
        </w:tc>
        <w:tc>
          <w:tcPr>
            <w:tcW w:w="2196" w:type="pct"/>
            <w:vAlign w:val="center"/>
          </w:tcPr>
          <w:p>
            <w:pPr>
              <w:adjustRightInd w:val="0"/>
              <w:snapToGrid w:val="0"/>
              <w:spacing w:before="62" w:beforeLines="20" w:after="62" w:afterLines="20"/>
              <w:jc w:val="center"/>
              <w:rPr>
                <w:rFonts w:hint="eastAsia" w:ascii="黑体" w:hAnsi="黑体" w:eastAsia="黑体" w:cs="黑体"/>
                <w:color w:val="000000" w:themeColor="text1"/>
              </w:rPr>
            </w:pPr>
            <w:r>
              <w:rPr>
                <w:rFonts w:hint="eastAsia" w:ascii="黑体" w:hAnsi="黑体" w:eastAsia="黑体" w:cs="黑体"/>
                <w:color w:val="000000" w:themeColor="text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45"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rPr>
              <w:t>1</w:t>
            </w:r>
          </w:p>
        </w:tc>
        <w:tc>
          <w:tcPr>
            <w:tcW w:w="2258"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感官</w:t>
            </w:r>
          </w:p>
        </w:tc>
        <w:tc>
          <w:tcPr>
            <w:tcW w:w="219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45"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rPr>
              <w:t>2</w:t>
            </w:r>
          </w:p>
        </w:tc>
        <w:tc>
          <w:tcPr>
            <w:tcW w:w="2258"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铅（Pb）</w:t>
            </w:r>
          </w:p>
        </w:tc>
        <w:tc>
          <w:tcPr>
            <w:tcW w:w="219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31604.34—2016</w:t>
            </w:r>
          </w:p>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545"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rPr>
              <w:t>3</w:t>
            </w:r>
          </w:p>
        </w:tc>
        <w:tc>
          <w:tcPr>
            <w:tcW w:w="2258"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砷（As）</w:t>
            </w:r>
          </w:p>
        </w:tc>
        <w:tc>
          <w:tcPr>
            <w:tcW w:w="219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31604.38—2016</w:t>
            </w:r>
          </w:p>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45"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rPr>
              <w:t>4</w:t>
            </w:r>
          </w:p>
        </w:tc>
        <w:tc>
          <w:tcPr>
            <w:tcW w:w="2258"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荧光性物质</w:t>
            </w:r>
          </w:p>
        </w:tc>
        <w:tc>
          <w:tcPr>
            <w:tcW w:w="219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31604.47—2023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45"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rPr>
              <w:t>5</w:t>
            </w:r>
          </w:p>
        </w:tc>
        <w:tc>
          <w:tcPr>
            <w:tcW w:w="2258"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甲醛</w:t>
            </w:r>
          </w:p>
        </w:tc>
        <w:tc>
          <w:tcPr>
            <w:tcW w:w="219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4806.8—2022</w:t>
            </w:r>
          </w:p>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45"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kern w:val="0"/>
              </w:rPr>
              <w:t>6</w:t>
            </w:r>
          </w:p>
        </w:tc>
        <w:tc>
          <w:tcPr>
            <w:tcW w:w="2258" w:type="pct"/>
            <w:vAlign w:val="center"/>
          </w:tcPr>
          <w:p>
            <w:pPr>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1,3-二氯-2-丙醇</w:t>
            </w:r>
          </w:p>
        </w:tc>
        <w:tc>
          <w:tcPr>
            <w:tcW w:w="219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545"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kern w:val="0"/>
              </w:rPr>
              <w:t>7</w:t>
            </w:r>
          </w:p>
        </w:tc>
        <w:tc>
          <w:tcPr>
            <w:tcW w:w="2258" w:type="pct"/>
            <w:vAlign w:val="center"/>
          </w:tcPr>
          <w:p>
            <w:pPr>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3-氯-1,2-丙二醇</w:t>
            </w:r>
          </w:p>
        </w:tc>
        <w:tc>
          <w:tcPr>
            <w:tcW w:w="219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45"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8</w:t>
            </w:r>
          </w:p>
        </w:tc>
        <w:tc>
          <w:tcPr>
            <w:tcW w:w="2258"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大肠菌群</w:t>
            </w:r>
          </w:p>
        </w:tc>
        <w:tc>
          <w:tcPr>
            <w:tcW w:w="2196"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45" w:type="pct"/>
            <w:tcBorders>
              <w:bottom w:val="single" w:color="auto" w:sz="4" w:space="0"/>
            </w:tcBorders>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9</w:t>
            </w:r>
          </w:p>
        </w:tc>
        <w:tc>
          <w:tcPr>
            <w:tcW w:w="2258" w:type="pct"/>
            <w:tcBorders>
              <w:bottom w:val="single" w:color="auto" w:sz="4" w:space="0"/>
            </w:tcBorders>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沙门氏菌</w:t>
            </w:r>
          </w:p>
        </w:tc>
        <w:tc>
          <w:tcPr>
            <w:tcW w:w="2196" w:type="pct"/>
            <w:tcBorders>
              <w:bottom w:val="single" w:color="auto" w:sz="4" w:space="0"/>
            </w:tcBorders>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4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10</w:t>
            </w:r>
          </w:p>
        </w:tc>
        <w:tc>
          <w:tcPr>
            <w:tcW w:w="22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霉菌</w:t>
            </w:r>
          </w:p>
        </w:tc>
        <w:tc>
          <w:tcPr>
            <w:tcW w:w="219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4806.8—2022</w:t>
            </w:r>
          </w:p>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4789.15—2016</w:t>
            </w:r>
          </w:p>
        </w:tc>
      </w:tr>
    </w:tbl>
    <w:p>
      <w:pPr>
        <w:jc w:val="center"/>
        <w:rPr>
          <w:rFonts w:hint="default" w:ascii="Times New Roman" w:hAnsi="Times New Roman" w:cs="Times New Roman"/>
          <w:color w:val="000000" w:themeColor="text1"/>
        </w:rPr>
      </w:pPr>
    </w:p>
    <w:p>
      <w:pPr>
        <w:adjustRightInd w:val="0"/>
        <w:snapToGrid w:val="0"/>
        <w:spacing w:line="360" w:lineRule="auto"/>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表6 纸罐（圆柱形复合罐）</w:t>
      </w:r>
    </w:p>
    <w:tbl>
      <w:tblPr>
        <w:tblStyle w:val="8"/>
        <w:tblW w:w="48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3693"/>
        <w:gridCol w:w="4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401" w:type="pct"/>
            <w:vAlign w:val="center"/>
          </w:tcPr>
          <w:p>
            <w:pPr>
              <w:adjustRightInd w:val="0"/>
              <w:snapToGrid w:val="0"/>
              <w:spacing w:before="62" w:beforeLines="20" w:after="62" w:afterLines="20"/>
              <w:jc w:val="center"/>
              <w:rPr>
                <w:rFonts w:hint="eastAsia" w:ascii="黑体" w:hAnsi="黑体" w:eastAsia="黑体" w:cs="黑体"/>
                <w:color w:val="000000" w:themeColor="text1"/>
              </w:rPr>
            </w:pPr>
            <w:r>
              <w:rPr>
                <w:rFonts w:hint="eastAsia" w:ascii="黑体" w:hAnsi="黑体" w:eastAsia="黑体" w:cs="黑体"/>
                <w:color w:val="000000" w:themeColor="text1"/>
              </w:rPr>
              <w:t>序号</w:t>
            </w:r>
          </w:p>
        </w:tc>
        <w:tc>
          <w:tcPr>
            <w:tcW w:w="2068" w:type="pct"/>
            <w:vAlign w:val="center"/>
          </w:tcPr>
          <w:p>
            <w:pPr>
              <w:adjustRightInd w:val="0"/>
              <w:snapToGrid w:val="0"/>
              <w:spacing w:before="62" w:beforeLines="20" w:after="62" w:afterLines="20"/>
              <w:jc w:val="center"/>
              <w:rPr>
                <w:rFonts w:hint="eastAsia" w:ascii="黑体" w:hAnsi="黑体" w:eastAsia="黑体" w:cs="黑体"/>
                <w:color w:val="000000" w:themeColor="text1"/>
              </w:rPr>
            </w:pPr>
            <w:r>
              <w:rPr>
                <w:rFonts w:hint="eastAsia" w:ascii="黑体" w:hAnsi="黑体" w:eastAsia="黑体" w:cs="黑体"/>
                <w:color w:val="000000" w:themeColor="text1"/>
              </w:rPr>
              <w:t>检验项目</w:t>
            </w:r>
          </w:p>
        </w:tc>
        <w:tc>
          <w:tcPr>
            <w:tcW w:w="2531" w:type="pct"/>
            <w:vAlign w:val="center"/>
          </w:tcPr>
          <w:p>
            <w:pPr>
              <w:adjustRightInd w:val="0"/>
              <w:snapToGrid w:val="0"/>
              <w:spacing w:before="62" w:beforeLines="20" w:after="62" w:afterLines="20"/>
              <w:jc w:val="center"/>
              <w:rPr>
                <w:rFonts w:hint="eastAsia" w:ascii="黑体" w:hAnsi="黑体" w:eastAsia="黑体" w:cs="黑体"/>
                <w:color w:val="000000" w:themeColor="text1"/>
              </w:rPr>
            </w:pPr>
            <w:r>
              <w:rPr>
                <w:rFonts w:hint="eastAsia" w:ascii="黑体" w:hAnsi="黑体" w:eastAsia="黑体" w:cs="黑体"/>
                <w:color w:val="000000" w:themeColor="text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1"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rPr>
              <w:t>1</w:t>
            </w:r>
          </w:p>
        </w:tc>
        <w:tc>
          <w:tcPr>
            <w:tcW w:w="2068"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感官要求/感官</w:t>
            </w:r>
          </w:p>
        </w:tc>
        <w:tc>
          <w:tcPr>
            <w:tcW w:w="2531"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1"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2</w:t>
            </w:r>
          </w:p>
        </w:tc>
        <w:tc>
          <w:tcPr>
            <w:tcW w:w="2068"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总迁移量</w:t>
            </w:r>
            <w:r>
              <w:rPr>
                <w:rFonts w:hint="default" w:ascii="Times New Roman" w:hAnsi="Times New Roman" w:cs="Times New Roman"/>
                <w:color w:val="000000" w:themeColor="text1"/>
                <w:vertAlign w:val="superscript"/>
              </w:rPr>
              <w:t>a</w:t>
            </w:r>
          </w:p>
        </w:tc>
        <w:tc>
          <w:tcPr>
            <w:tcW w:w="2531"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401"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3</w:t>
            </w:r>
          </w:p>
        </w:tc>
        <w:tc>
          <w:tcPr>
            <w:tcW w:w="2068"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高锰酸钾消耗量</w:t>
            </w:r>
            <w:r>
              <w:rPr>
                <w:rFonts w:hint="default" w:ascii="Times New Roman" w:hAnsi="Times New Roman" w:cs="Times New Roman"/>
                <w:color w:val="000000" w:themeColor="text1"/>
                <w:vertAlign w:val="superscript"/>
              </w:rPr>
              <w:t>a</w:t>
            </w:r>
          </w:p>
        </w:tc>
        <w:tc>
          <w:tcPr>
            <w:tcW w:w="2531"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1"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4</w:t>
            </w:r>
          </w:p>
        </w:tc>
        <w:tc>
          <w:tcPr>
            <w:tcW w:w="2068"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重金属（以Pb计）</w:t>
            </w:r>
            <w:r>
              <w:rPr>
                <w:rFonts w:hint="default" w:ascii="Times New Roman" w:hAnsi="Times New Roman" w:cs="Times New Roman"/>
                <w:color w:val="000000" w:themeColor="text1"/>
                <w:vertAlign w:val="superscript"/>
              </w:rPr>
              <w:t>a</w:t>
            </w:r>
          </w:p>
        </w:tc>
        <w:tc>
          <w:tcPr>
            <w:tcW w:w="2531"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1"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5</w:t>
            </w:r>
          </w:p>
        </w:tc>
        <w:tc>
          <w:tcPr>
            <w:tcW w:w="2068"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大肠菌群</w:t>
            </w:r>
          </w:p>
        </w:tc>
        <w:tc>
          <w:tcPr>
            <w:tcW w:w="2531"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1"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kern w:val="0"/>
              </w:rPr>
            </w:pPr>
            <w:r>
              <w:rPr>
                <w:rFonts w:hint="default" w:ascii="Times New Roman" w:hAnsi="Times New Roman" w:cs="Times New Roman"/>
                <w:color w:val="000000" w:themeColor="text1"/>
                <w:kern w:val="0"/>
              </w:rPr>
              <w:t>6</w:t>
            </w:r>
          </w:p>
        </w:tc>
        <w:tc>
          <w:tcPr>
            <w:tcW w:w="2068"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沙门氏菌</w:t>
            </w:r>
          </w:p>
        </w:tc>
        <w:tc>
          <w:tcPr>
            <w:tcW w:w="2531"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401"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7</w:t>
            </w:r>
          </w:p>
        </w:tc>
        <w:tc>
          <w:tcPr>
            <w:tcW w:w="2068"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霉菌</w:t>
            </w:r>
          </w:p>
        </w:tc>
        <w:tc>
          <w:tcPr>
            <w:tcW w:w="2531"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4806.8—2022</w:t>
            </w:r>
          </w:p>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 4789.15—2016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1"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8</w:t>
            </w:r>
          </w:p>
        </w:tc>
        <w:tc>
          <w:tcPr>
            <w:tcW w:w="2068"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端盖脱离力</w:t>
            </w:r>
          </w:p>
        </w:tc>
        <w:tc>
          <w:tcPr>
            <w:tcW w:w="2531"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GB/T 10440—2008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1"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9</w:t>
            </w:r>
          </w:p>
        </w:tc>
        <w:tc>
          <w:tcPr>
            <w:tcW w:w="2068"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轴向压溃力</w:t>
            </w:r>
          </w:p>
        </w:tc>
        <w:tc>
          <w:tcPr>
            <w:tcW w:w="2531"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GB/T 10440—2008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1"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10</w:t>
            </w:r>
          </w:p>
        </w:tc>
        <w:tc>
          <w:tcPr>
            <w:tcW w:w="2068"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快速泄漏试验</w:t>
            </w:r>
          </w:p>
        </w:tc>
        <w:tc>
          <w:tcPr>
            <w:tcW w:w="2531" w:type="pct"/>
            <w:vAlign w:val="center"/>
          </w:tcPr>
          <w:p>
            <w:pPr>
              <w:adjustRightInd w:val="0"/>
              <w:snapToGrid w:val="0"/>
              <w:spacing w:before="62" w:beforeLines="20" w:after="62" w:afterLines="20"/>
              <w:jc w:val="center"/>
              <w:rPr>
                <w:rFonts w:hint="default" w:ascii="Times New Roman" w:hAnsi="Times New Roman" w:cs="Times New Roman"/>
                <w:color w:val="000000" w:themeColor="text1"/>
              </w:rPr>
            </w:pPr>
            <w:r>
              <w:rPr>
                <w:rFonts w:hint="default" w:ascii="Times New Roman" w:hAnsi="Times New Roman" w:cs="Times New Roman"/>
                <w:color w:val="000000" w:themeColor="text1"/>
              </w:rPr>
              <w:t>GB/T 10440—2008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5000" w:type="pct"/>
            <w:gridSpan w:val="3"/>
          </w:tcPr>
          <w:p>
            <w:pPr>
              <w:adjustRightInd w:val="0"/>
              <w:snapToGrid w:val="0"/>
              <w:spacing w:before="62" w:beforeLines="20" w:after="62" w:afterLines="20"/>
              <w:rPr>
                <w:rFonts w:hint="default" w:ascii="Times New Roman" w:hAnsi="Times New Roman" w:cs="Times New Roman"/>
                <w:color w:val="000000" w:themeColor="text1"/>
              </w:rPr>
            </w:pPr>
            <w:r>
              <w:rPr>
                <w:rFonts w:hint="default" w:ascii="Times New Roman" w:hAnsi="Times New Roman" w:cs="Times New Roman"/>
                <w:color w:val="000000" w:themeColor="text1"/>
              </w:rPr>
              <w:t>注：a适用于</w:t>
            </w:r>
            <w:r>
              <w:rPr>
                <w:rFonts w:hint="default" w:ascii="Times New Roman" w:hAnsi="Times New Roman" w:cs="Times New Roman"/>
              </w:rPr>
              <w:t>直</w:t>
            </w:r>
            <w:r>
              <w:rPr>
                <w:rFonts w:hint="default" w:ascii="Times New Roman" w:hAnsi="Times New Roman" w:cs="Times New Roman"/>
                <w:color w:val="000000" w:themeColor="text1"/>
              </w:rPr>
              <w:t>接接触食品层为塑料材质的产品。</w:t>
            </w:r>
          </w:p>
        </w:tc>
      </w:tr>
    </w:tbl>
    <w:p>
      <w:pPr>
        <w:adjustRightInd w:val="0"/>
        <w:snapToGrid w:val="0"/>
        <w:spacing w:line="440" w:lineRule="exact"/>
        <w:rPr>
          <w:rFonts w:hint="eastAsia" w:ascii="Times New Roman" w:hAnsi="Times New Roman" w:cs="Times New Roman"/>
          <w:color w:val="000000" w:themeColor="text1"/>
          <w:lang w:val="en-US" w:eastAsia="zh-CN"/>
        </w:rPr>
      </w:pPr>
      <w:bookmarkStart w:id="0" w:name="_Hlk40347690"/>
      <w:r>
        <w:rPr>
          <w:rFonts w:hint="eastAsia" w:ascii="Times New Roman" w:hAnsi="Times New Roman" w:cs="Times New Roman"/>
          <w:color w:val="000000" w:themeColor="text1"/>
          <w:lang w:val="en-US" w:eastAsia="zh-CN"/>
        </w:rPr>
        <w:t xml:space="preserve">                                  表7 纸杯</w:t>
      </w:r>
    </w:p>
    <w:tbl>
      <w:tblPr>
        <w:tblStyle w:val="8"/>
        <w:tblW w:w="493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
        <w:gridCol w:w="3900"/>
        <w:gridCol w:w="4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blHeader/>
        </w:trPr>
        <w:tc>
          <w:tcPr>
            <w:tcW w:w="370" w:type="pct"/>
          </w:tcPr>
          <w:p>
            <w:pPr>
              <w:snapToGrid w:val="0"/>
              <w:spacing w:line="440" w:lineRule="exact"/>
              <w:jc w:val="center"/>
              <w:rPr>
                <w:rFonts w:hint="eastAsia" w:ascii="黑体" w:hAnsi="黑体" w:eastAsia="黑体" w:cs="黑体"/>
                <w:color w:val="000000"/>
              </w:rPr>
            </w:pPr>
            <w:bookmarkStart w:id="1" w:name="_GoBack" w:colFirst="0" w:colLast="2"/>
            <w:r>
              <w:rPr>
                <w:rFonts w:hint="eastAsia" w:ascii="黑体" w:hAnsi="黑体" w:eastAsia="黑体" w:cs="黑体"/>
                <w:color w:val="000000"/>
              </w:rPr>
              <w:t>序号</w:t>
            </w:r>
          </w:p>
        </w:tc>
        <w:tc>
          <w:tcPr>
            <w:tcW w:w="2153" w:type="pct"/>
          </w:tcPr>
          <w:p>
            <w:pPr>
              <w:snapToGrid w:val="0"/>
              <w:spacing w:line="440" w:lineRule="exact"/>
              <w:jc w:val="center"/>
              <w:rPr>
                <w:rFonts w:hint="eastAsia" w:ascii="黑体" w:hAnsi="黑体" w:eastAsia="黑体" w:cs="黑体"/>
                <w:color w:val="000000"/>
              </w:rPr>
            </w:pPr>
            <w:r>
              <w:rPr>
                <w:rFonts w:hint="eastAsia" w:ascii="黑体" w:hAnsi="黑体" w:eastAsia="黑体" w:cs="黑体"/>
                <w:color w:val="000000"/>
              </w:rPr>
              <w:t>检验项目</w:t>
            </w:r>
          </w:p>
        </w:tc>
        <w:tc>
          <w:tcPr>
            <w:tcW w:w="2475" w:type="pct"/>
          </w:tcPr>
          <w:p>
            <w:pPr>
              <w:snapToGrid w:val="0"/>
              <w:spacing w:line="440" w:lineRule="exact"/>
              <w:jc w:val="center"/>
              <w:rPr>
                <w:rFonts w:hint="eastAsia" w:ascii="黑体" w:hAnsi="黑体" w:eastAsia="黑体" w:cs="黑体"/>
                <w:color w:val="000000"/>
              </w:rPr>
            </w:pPr>
            <w:r>
              <w:rPr>
                <w:rFonts w:hint="eastAsia" w:ascii="黑体" w:hAnsi="黑体" w:eastAsia="黑体" w:cs="黑体"/>
                <w:color w:val="000000"/>
              </w:rPr>
              <w:t>检验方法</w:t>
            </w: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370" w:type="pct"/>
            <w:vAlign w:val="center"/>
          </w:tcPr>
          <w:p>
            <w:pPr>
              <w:adjustRightInd w:val="0"/>
              <w:snapToGrid w:val="0"/>
              <w:jc w:val="center"/>
              <w:rPr>
                <w:rFonts w:hint="default" w:ascii="Times New Roman" w:hAnsi="Times New Roman" w:cs="Times New Roman"/>
                <w:kern w:val="0"/>
              </w:rPr>
            </w:pPr>
            <w:r>
              <w:rPr>
                <w:rFonts w:hint="default" w:ascii="Times New Roman" w:hAnsi="Times New Roman" w:cs="Times New Roman"/>
              </w:rPr>
              <w:t>1</w:t>
            </w:r>
          </w:p>
        </w:tc>
        <w:tc>
          <w:tcPr>
            <w:tcW w:w="2153"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感官要求</w:t>
            </w:r>
          </w:p>
        </w:tc>
        <w:tc>
          <w:tcPr>
            <w:tcW w:w="2475"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370"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2</w:t>
            </w:r>
          </w:p>
        </w:tc>
        <w:tc>
          <w:tcPr>
            <w:tcW w:w="2153" w:type="pct"/>
            <w:vAlign w:val="center"/>
          </w:tcPr>
          <w:p>
            <w:pPr>
              <w:adjustRightInd w:val="0"/>
              <w:snapToGrid w:val="0"/>
              <w:jc w:val="center"/>
              <w:rPr>
                <w:rFonts w:hint="default" w:ascii="Times New Roman" w:hAnsi="Times New Roman" w:cs="Times New Roman"/>
                <w:color w:val="000000"/>
              </w:rPr>
            </w:pPr>
            <w:r>
              <w:rPr>
                <w:rFonts w:hint="default" w:ascii="Times New Roman" w:hAnsi="Times New Roman" w:cs="Times New Roman"/>
                <w:color w:val="000000"/>
              </w:rPr>
              <w:t>总迁移量</w:t>
            </w:r>
          </w:p>
        </w:tc>
        <w:tc>
          <w:tcPr>
            <w:tcW w:w="2475" w:type="pct"/>
            <w:vAlign w:val="center"/>
          </w:tcPr>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370"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3</w:t>
            </w:r>
          </w:p>
        </w:tc>
        <w:tc>
          <w:tcPr>
            <w:tcW w:w="2153" w:type="pct"/>
            <w:vAlign w:val="center"/>
          </w:tcPr>
          <w:p>
            <w:pPr>
              <w:tabs>
                <w:tab w:val="center" w:pos="1650"/>
                <w:tab w:val="right" w:pos="3181"/>
              </w:tabs>
              <w:adjustRightInd w:val="0"/>
              <w:snapToGrid w:val="0"/>
              <w:ind w:firstLine="210" w:firstLineChars="100"/>
              <w:jc w:val="center"/>
              <w:rPr>
                <w:rFonts w:hint="default" w:ascii="Times New Roman" w:hAnsi="Times New Roman" w:cs="Times New Roman"/>
                <w:color w:val="000000"/>
              </w:rPr>
            </w:pPr>
            <w:r>
              <w:rPr>
                <w:rFonts w:hint="default" w:ascii="Times New Roman" w:hAnsi="Times New Roman" w:cs="Times New Roman"/>
                <w:color w:val="000000"/>
                <w:szCs w:val="21"/>
              </w:rPr>
              <w:t>高锰酸钾消耗量</w:t>
            </w:r>
            <w:r>
              <w:rPr>
                <w:rFonts w:hint="default" w:ascii="Times New Roman" w:hAnsi="Times New Roman" w:cs="Times New Roman"/>
                <w:color w:val="000000"/>
                <w:szCs w:val="21"/>
                <w:vertAlign w:val="superscript"/>
              </w:rPr>
              <w:t>a</w:t>
            </w:r>
          </w:p>
        </w:tc>
        <w:tc>
          <w:tcPr>
            <w:tcW w:w="2475" w:type="pct"/>
            <w:vAlign w:val="center"/>
          </w:tcPr>
          <w:p>
            <w:pPr>
              <w:adjustRightInd w:val="0"/>
              <w:snapToGrid w:val="0"/>
              <w:jc w:val="center"/>
              <w:rPr>
                <w:rFonts w:hint="default" w:ascii="Times New Roman" w:hAnsi="Times New Roman" w:cs="Times New Roman"/>
                <w:color w:val="000000"/>
              </w:rPr>
            </w:pPr>
            <w:r>
              <w:rPr>
                <w:rFonts w:hint="default" w:ascii="Times New Roman" w:hAnsi="Times New Roman" w:cs="Times New Roman"/>
                <w:color w:val="000000"/>
              </w:rPr>
              <w:t>GB 31604.</w:t>
            </w:r>
            <w:r>
              <w:rPr>
                <w:rFonts w:hint="default" w:ascii="Times New Roman" w:hAnsi="Times New Roman" w:cs="Times New Roman"/>
                <w:color w:val="000000"/>
                <w:szCs w:val="21"/>
              </w:rPr>
              <w:t>2</w:t>
            </w:r>
            <w:r>
              <w:rPr>
                <w:rFonts w:hint="default" w:ascii="Times New Roman" w:hAnsi="Times New Roman" w:cs="Times New Roman"/>
              </w:rPr>
              <w:t>—</w:t>
            </w:r>
            <w:r>
              <w:rPr>
                <w:rFonts w:hint="default" w:ascii="Times New Roman" w:hAnsi="Times New Roman" w:cs="Times New Roman"/>
                <w:color w:val="000000"/>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370"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4</w:t>
            </w:r>
          </w:p>
        </w:tc>
        <w:tc>
          <w:tcPr>
            <w:tcW w:w="2153"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重金属（以Pb计）</w:t>
            </w:r>
          </w:p>
        </w:tc>
        <w:tc>
          <w:tcPr>
            <w:tcW w:w="2475"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31604.</w:t>
            </w:r>
            <w:r>
              <w:rPr>
                <w:rFonts w:hint="default" w:ascii="Times New Roman" w:hAnsi="Times New Roman" w:cs="Times New Roman"/>
                <w:szCs w:val="21"/>
              </w:rPr>
              <w:t>9</w:t>
            </w:r>
            <w:r>
              <w:rPr>
                <w:rFonts w:hint="default"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70" w:type="pct"/>
            <w:vAlign w:val="center"/>
          </w:tcPr>
          <w:p>
            <w:pPr>
              <w:adjustRightInd w:val="0"/>
              <w:snapToGrid w:val="0"/>
              <w:jc w:val="center"/>
              <w:rPr>
                <w:rFonts w:hint="default" w:ascii="Times New Roman" w:hAnsi="Times New Roman" w:cs="Times New Roman"/>
                <w:kern w:val="0"/>
              </w:rPr>
            </w:pPr>
            <w:r>
              <w:rPr>
                <w:rFonts w:hint="default" w:ascii="Times New Roman" w:hAnsi="Times New Roman" w:cs="Times New Roman"/>
              </w:rPr>
              <w:t>5</w:t>
            </w:r>
          </w:p>
        </w:tc>
        <w:tc>
          <w:tcPr>
            <w:tcW w:w="2153"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铅（Pb）</w:t>
            </w:r>
          </w:p>
        </w:tc>
        <w:tc>
          <w:tcPr>
            <w:tcW w:w="2475"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rPr>
              <w:t>GB 31604.</w:t>
            </w:r>
            <w:r>
              <w:rPr>
                <w:rFonts w:hint="default" w:ascii="Times New Roman" w:hAnsi="Times New Roman" w:cs="Times New Roman"/>
                <w:szCs w:val="21"/>
              </w:rPr>
              <w:t>34—2016</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或</w:t>
            </w:r>
            <w:r>
              <w:rPr>
                <w:rFonts w:hint="default" w:ascii="Times New Roman" w:hAnsi="Times New Roman" w:cs="Times New Roman"/>
                <w:bCs/>
                <w:color w:val="000000"/>
                <w:szCs w:val="21"/>
              </w:rPr>
              <w:t>GB 31604.49</w:t>
            </w:r>
            <w:r>
              <w:rPr>
                <w:rFonts w:hint="default" w:ascii="Times New Roman" w:hAnsi="Times New Roman" w:cs="Times New Roman"/>
              </w:rPr>
              <w:t>—</w:t>
            </w:r>
            <w:r>
              <w:rPr>
                <w:rFonts w:hint="default" w:ascii="Times New Roman" w:hAnsi="Times New Roman" w:cs="Times New Roman"/>
                <w:bCs/>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70" w:type="pct"/>
            <w:vAlign w:val="center"/>
          </w:tcPr>
          <w:p>
            <w:pPr>
              <w:adjustRightInd w:val="0"/>
              <w:snapToGrid w:val="0"/>
              <w:jc w:val="center"/>
              <w:rPr>
                <w:rFonts w:hint="default" w:ascii="Times New Roman" w:hAnsi="Times New Roman" w:cs="Times New Roman"/>
                <w:kern w:val="0"/>
              </w:rPr>
            </w:pPr>
            <w:r>
              <w:rPr>
                <w:rFonts w:hint="default" w:ascii="Times New Roman" w:hAnsi="Times New Roman" w:cs="Times New Roman"/>
              </w:rPr>
              <w:t>6</w:t>
            </w:r>
          </w:p>
        </w:tc>
        <w:tc>
          <w:tcPr>
            <w:tcW w:w="2153" w:type="pct"/>
            <w:vAlign w:val="center"/>
          </w:tcPr>
          <w:p>
            <w:pPr>
              <w:adjustRightInd w:val="0"/>
              <w:snapToGrid w:val="0"/>
              <w:jc w:val="center"/>
              <w:rPr>
                <w:rFonts w:hint="default" w:ascii="Times New Roman" w:hAnsi="Times New Roman" w:cs="Times New Roman"/>
                <w:color w:val="000000"/>
              </w:rPr>
            </w:pPr>
            <w:r>
              <w:rPr>
                <w:rFonts w:hint="default" w:ascii="Times New Roman" w:hAnsi="Times New Roman" w:cs="Times New Roman"/>
                <w:color w:val="000000"/>
              </w:rPr>
              <w:t>砷（As）</w:t>
            </w:r>
          </w:p>
        </w:tc>
        <w:tc>
          <w:tcPr>
            <w:tcW w:w="2475" w:type="pct"/>
            <w:vAlign w:val="center"/>
          </w:tcPr>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 31604.38—2016</w:t>
            </w:r>
          </w:p>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或</w:t>
            </w:r>
            <w:r>
              <w:rPr>
                <w:rFonts w:hint="default" w:ascii="Times New Roman" w:hAnsi="Times New Roman" w:cs="Times New Roman"/>
                <w:bCs/>
                <w:color w:val="000000"/>
                <w:szCs w:val="21"/>
              </w:rPr>
              <w:t>GB 31604.49</w:t>
            </w:r>
            <w:r>
              <w:rPr>
                <w:rFonts w:hint="default" w:ascii="Times New Roman" w:hAnsi="Times New Roman" w:cs="Times New Roman"/>
                <w:color w:val="000000"/>
                <w:szCs w:val="21"/>
              </w:rPr>
              <w:t>—</w:t>
            </w:r>
            <w:r>
              <w:rPr>
                <w:rFonts w:hint="default" w:ascii="Times New Roman" w:hAnsi="Times New Roman" w:cs="Times New Roman"/>
                <w:bCs/>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370"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7</w:t>
            </w:r>
          </w:p>
        </w:tc>
        <w:tc>
          <w:tcPr>
            <w:tcW w:w="2153" w:type="pct"/>
            <w:vAlign w:val="center"/>
          </w:tcPr>
          <w:p>
            <w:pPr>
              <w:adjustRightInd w:val="0"/>
              <w:snapToGrid w:val="0"/>
              <w:jc w:val="center"/>
              <w:rPr>
                <w:rFonts w:hint="default" w:ascii="Times New Roman" w:hAnsi="Times New Roman" w:cs="Times New Roman"/>
                <w:color w:val="000000"/>
              </w:rPr>
            </w:pPr>
            <w:r>
              <w:rPr>
                <w:rFonts w:hint="default" w:ascii="Times New Roman" w:hAnsi="Times New Roman" w:cs="Times New Roman"/>
                <w:color w:val="000000"/>
              </w:rPr>
              <w:t>荧光性物质</w:t>
            </w:r>
          </w:p>
        </w:tc>
        <w:tc>
          <w:tcPr>
            <w:tcW w:w="2475" w:type="pct"/>
            <w:vAlign w:val="center"/>
          </w:tcPr>
          <w:p>
            <w:pPr>
              <w:adjustRightInd w:val="0"/>
              <w:snapToGrid w:val="0"/>
              <w:jc w:val="center"/>
              <w:rPr>
                <w:rFonts w:hint="default" w:ascii="Times New Roman" w:hAnsi="Times New Roman" w:cs="Times New Roman"/>
                <w:color w:val="000000"/>
              </w:rPr>
            </w:pPr>
            <w:r>
              <w:rPr>
                <w:rFonts w:hint="default" w:ascii="Times New Roman" w:hAnsi="Times New Roman" w:cs="Times New Roman"/>
                <w:bCs/>
                <w:color w:val="000000"/>
                <w:szCs w:val="21"/>
              </w:rPr>
              <w:t>GB 31604.47</w:t>
            </w:r>
            <w:r>
              <w:rPr>
                <w:rFonts w:hint="default" w:ascii="Times New Roman" w:hAnsi="Times New Roman" w:cs="Times New Roman"/>
                <w:color w:val="000000"/>
                <w:szCs w:val="21"/>
              </w:rPr>
              <w:t>—</w:t>
            </w:r>
            <w:r>
              <w:rPr>
                <w:rFonts w:hint="default" w:ascii="Times New Roman" w:hAnsi="Times New Roman" w:cs="Times New Roman"/>
                <w:bCs/>
                <w:color w:val="000000"/>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70" w:type="pct"/>
            <w:vAlign w:val="center"/>
          </w:tcPr>
          <w:p>
            <w:pPr>
              <w:adjustRightInd w:val="0"/>
              <w:snapToGrid w:val="0"/>
              <w:jc w:val="center"/>
              <w:rPr>
                <w:rFonts w:hint="default" w:ascii="Times New Roman" w:hAnsi="Times New Roman" w:cs="Times New Roman"/>
                <w:kern w:val="0"/>
              </w:rPr>
            </w:pPr>
            <w:r>
              <w:rPr>
                <w:rFonts w:hint="default" w:ascii="Times New Roman" w:hAnsi="Times New Roman" w:cs="Times New Roman"/>
              </w:rPr>
              <w:t>8</w:t>
            </w:r>
          </w:p>
        </w:tc>
        <w:tc>
          <w:tcPr>
            <w:tcW w:w="2153" w:type="pct"/>
            <w:vAlign w:val="center"/>
          </w:tcPr>
          <w:p>
            <w:pPr>
              <w:adjustRightInd w:val="0"/>
              <w:snapToGrid w:val="0"/>
              <w:jc w:val="center"/>
              <w:rPr>
                <w:rFonts w:hint="default" w:ascii="Times New Roman" w:hAnsi="Times New Roman" w:cs="Times New Roman"/>
                <w:color w:val="000000"/>
              </w:rPr>
            </w:pPr>
            <w:r>
              <w:rPr>
                <w:rFonts w:hint="default" w:ascii="Times New Roman" w:hAnsi="Times New Roman" w:cs="Times New Roman"/>
                <w:color w:val="000000"/>
                <w:szCs w:val="21"/>
              </w:rPr>
              <w:t>甲醛</w:t>
            </w:r>
          </w:p>
        </w:tc>
        <w:tc>
          <w:tcPr>
            <w:tcW w:w="2475" w:type="pct"/>
            <w:vAlign w:val="center"/>
          </w:tcPr>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 4806.8—2022</w:t>
            </w:r>
          </w:p>
          <w:p>
            <w:pPr>
              <w:adjustRightInd w:val="0"/>
              <w:snapToGrid w:val="0"/>
              <w:jc w:val="center"/>
              <w:rPr>
                <w:rFonts w:hint="default" w:ascii="Times New Roman" w:hAnsi="Times New Roman" w:cs="Times New Roman"/>
                <w:color w:val="000000"/>
              </w:rPr>
            </w:pPr>
            <w:r>
              <w:rPr>
                <w:rFonts w:hint="default" w:ascii="Times New Roman" w:hAnsi="Times New Roman" w:cs="Times New Roman"/>
                <w:color w:val="000000"/>
              </w:rPr>
              <w:t>GB 31604.</w:t>
            </w:r>
            <w:r>
              <w:rPr>
                <w:rFonts w:hint="default" w:ascii="Times New Roman" w:hAnsi="Times New Roman" w:cs="Times New Roman"/>
                <w:color w:val="000000"/>
                <w:szCs w:val="21"/>
              </w:rPr>
              <w:t>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370" w:type="pct"/>
            <w:vAlign w:val="center"/>
          </w:tcPr>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rPr>
              <w:t>9</w:t>
            </w:r>
          </w:p>
        </w:tc>
        <w:tc>
          <w:tcPr>
            <w:tcW w:w="2153" w:type="pct"/>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1,3-二氯-2-丙醇</w:t>
            </w:r>
          </w:p>
        </w:tc>
        <w:tc>
          <w:tcPr>
            <w:tcW w:w="2475" w:type="pct"/>
            <w:vAlign w:val="center"/>
          </w:tcPr>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370"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10</w:t>
            </w:r>
          </w:p>
        </w:tc>
        <w:tc>
          <w:tcPr>
            <w:tcW w:w="2153" w:type="pct"/>
            <w:vAlign w:val="center"/>
          </w:tcPr>
          <w:p>
            <w:pPr>
              <w:jc w:val="center"/>
              <w:rPr>
                <w:rFonts w:hint="default" w:ascii="Times New Roman" w:hAnsi="Times New Roman" w:cs="Times New Roman"/>
                <w:color w:val="000000"/>
              </w:rPr>
            </w:pPr>
            <w:r>
              <w:rPr>
                <w:rFonts w:hint="default" w:ascii="Times New Roman" w:hAnsi="Times New Roman" w:cs="Times New Roman"/>
                <w:color w:val="000000"/>
              </w:rPr>
              <w:t>3-氯-1,2-丙二醇</w:t>
            </w:r>
          </w:p>
        </w:tc>
        <w:tc>
          <w:tcPr>
            <w:tcW w:w="2475" w:type="pct"/>
            <w:vAlign w:val="center"/>
          </w:tcPr>
          <w:p>
            <w:pPr>
              <w:adjustRightInd w:val="0"/>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370" w:type="pct"/>
            <w:vAlign w:val="center"/>
          </w:tcPr>
          <w:p>
            <w:pPr>
              <w:adjustRightInd w:val="0"/>
              <w:snapToGrid w:val="0"/>
              <w:jc w:val="center"/>
              <w:rPr>
                <w:rFonts w:hint="default" w:ascii="Times New Roman" w:hAnsi="Times New Roman" w:cs="Times New Roman"/>
                <w:kern w:val="0"/>
              </w:rPr>
            </w:pPr>
            <w:r>
              <w:rPr>
                <w:rFonts w:hint="default" w:ascii="Times New Roman" w:hAnsi="Times New Roman" w:cs="Times New Roman"/>
                <w:kern w:val="0"/>
              </w:rPr>
              <w:t>11</w:t>
            </w:r>
          </w:p>
        </w:tc>
        <w:tc>
          <w:tcPr>
            <w:tcW w:w="2153"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大肠菌群</w:t>
            </w:r>
          </w:p>
        </w:tc>
        <w:tc>
          <w:tcPr>
            <w:tcW w:w="2475"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 xml:space="preserve">GB 14934—2016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370" w:type="pct"/>
            <w:vAlign w:val="center"/>
          </w:tcPr>
          <w:p>
            <w:pPr>
              <w:adjustRightInd w:val="0"/>
              <w:snapToGrid w:val="0"/>
              <w:jc w:val="center"/>
              <w:rPr>
                <w:rFonts w:hint="default" w:ascii="Times New Roman" w:hAnsi="Times New Roman" w:cs="Times New Roman"/>
                <w:kern w:val="0"/>
              </w:rPr>
            </w:pPr>
            <w:r>
              <w:rPr>
                <w:rFonts w:hint="default" w:ascii="Times New Roman" w:hAnsi="Times New Roman" w:cs="Times New Roman"/>
              </w:rPr>
              <w:t>12</w:t>
            </w:r>
          </w:p>
        </w:tc>
        <w:tc>
          <w:tcPr>
            <w:tcW w:w="2153"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沙门氏菌</w:t>
            </w:r>
          </w:p>
        </w:tc>
        <w:tc>
          <w:tcPr>
            <w:tcW w:w="2475"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 xml:space="preserve">GB 14934—2016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70" w:type="pct"/>
            <w:vAlign w:val="center"/>
          </w:tcPr>
          <w:p>
            <w:pPr>
              <w:adjustRightInd w:val="0"/>
              <w:snapToGrid w:val="0"/>
              <w:jc w:val="center"/>
              <w:rPr>
                <w:rFonts w:hint="default" w:ascii="Times New Roman" w:hAnsi="Times New Roman" w:cs="Times New Roman"/>
                <w:kern w:val="0"/>
              </w:rPr>
            </w:pPr>
            <w:r>
              <w:rPr>
                <w:rFonts w:hint="default" w:ascii="Times New Roman" w:hAnsi="Times New Roman" w:cs="Times New Roman"/>
              </w:rPr>
              <w:t>13</w:t>
            </w:r>
          </w:p>
        </w:tc>
        <w:tc>
          <w:tcPr>
            <w:tcW w:w="2153"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霉菌</w:t>
            </w:r>
          </w:p>
        </w:tc>
        <w:tc>
          <w:tcPr>
            <w:tcW w:w="2475"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GB 4806.8—2022</w:t>
            </w:r>
          </w:p>
          <w:p>
            <w:pPr>
              <w:adjustRightInd w:val="0"/>
              <w:snapToGrid w:val="0"/>
              <w:jc w:val="center"/>
              <w:rPr>
                <w:rFonts w:hint="default" w:ascii="Times New Roman" w:hAnsi="Times New Roman" w:cs="Times New Roman"/>
              </w:rPr>
            </w:pPr>
            <w:r>
              <w:rPr>
                <w:rFonts w:hint="default" w:ascii="Times New Roman" w:hAnsi="Times New Roman" w:cs="Times New Roman"/>
              </w:rPr>
              <w:t>GB 4789.15—2016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370"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14</w:t>
            </w:r>
          </w:p>
        </w:tc>
        <w:tc>
          <w:tcPr>
            <w:tcW w:w="2153"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感官指标</w:t>
            </w:r>
          </w:p>
        </w:tc>
        <w:tc>
          <w:tcPr>
            <w:tcW w:w="2475"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GB/T 27590—2022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370"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15</w:t>
            </w:r>
          </w:p>
        </w:tc>
        <w:tc>
          <w:tcPr>
            <w:tcW w:w="2153"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渗漏性能</w:t>
            </w:r>
          </w:p>
        </w:tc>
        <w:tc>
          <w:tcPr>
            <w:tcW w:w="2475"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GB/T 27590—2022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370"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16</w:t>
            </w:r>
          </w:p>
        </w:tc>
        <w:tc>
          <w:tcPr>
            <w:tcW w:w="2153" w:type="pct"/>
            <w:vAlign w:val="center"/>
          </w:tcPr>
          <w:p>
            <w:pPr>
              <w:adjustRightInd w:val="0"/>
              <w:snapToGrid w:val="0"/>
              <w:jc w:val="center"/>
              <w:rPr>
                <w:rFonts w:hint="default" w:ascii="Times New Roman" w:hAnsi="Times New Roman" w:cs="Times New Roman"/>
              </w:rPr>
            </w:pPr>
            <w:r>
              <w:rPr>
                <w:rFonts w:hint="default" w:ascii="Times New Roman" w:hAnsi="Times New Roman" w:cs="Times New Roman"/>
              </w:rPr>
              <w:t>杯身挺度</w:t>
            </w:r>
          </w:p>
        </w:tc>
        <w:tc>
          <w:tcPr>
            <w:tcW w:w="2475"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GB/T 27590—2022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5000" w:type="pct"/>
            <w:gridSpan w:val="3"/>
          </w:tcPr>
          <w:p>
            <w:pPr>
              <w:adjustRightInd w:val="0"/>
              <w:snapToGrid w:val="0"/>
              <w:jc w:val="left"/>
              <w:rPr>
                <w:rFonts w:hint="default" w:ascii="Times New Roman" w:hAnsi="Times New Roman" w:cs="Times New Roman"/>
                <w:szCs w:val="21"/>
              </w:rPr>
            </w:pPr>
            <w:r>
              <w:rPr>
                <w:rFonts w:hint="default" w:ascii="Times New Roman" w:hAnsi="Times New Roman" w:cs="Times New Roman"/>
              </w:rPr>
              <w:t>注：</w:t>
            </w:r>
            <w:r>
              <w:rPr>
                <w:rFonts w:hint="default" w:ascii="Times New Roman" w:hAnsi="Times New Roman" w:cs="Times New Roman"/>
                <w:szCs w:val="21"/>
              </w:rPr>
              <w:t xml:space="preserve"> a</w:t>
            </w:r>
            <w:r>
              <w:rPr>
                <w:rFonts w:hint="default" w:ascii="Times New Roman" w:hAnsi="Times New Roman" w:cs="Times New Roman"/>
              </w:rPr>
              <w:t>适用于淋（覆）膜</w:t>
            </w:r>
            <w:r>
              <w:rPr>
                <w:rFonts w:hint="default" w:ascii="Times New Roman" w:hAnsi="Times New Roman" w:cs="Times New Roman"/>
                <w:szCs w:val="21"/>
              </w:rPr>
              <w:t>、涂层纸杯</w:t>
            </w:r>
            <w:r>
              <w:rPr>
                <w:rFonts w:hint="default" w:ascii="Times New Roman" w:hAnsi="Times New Roman" w:cs="Times New Roman"/>
              </w:rPr>
              <w:t>产品。</w:t>
            </w:r>
          </w:p>
        </w:tc>
      </w:tr>
    </w:tbl>
    <w:p>
      <w:pPr>
        <w:adjustRightInd w:val="0"/>
        <w:snapToGrid w:val="0"/>
        <w:spacing w:line="440" w:lineRule="exact"/>
        <w:ind w:firstLine="420" w:firstLineChars="200"/>
        <w:rPr>
          <w:rFonts w:hint="default" w:ascii="Times New Roman" w:hAnsi="Times New Roman" w:cs="Times New Roman"/>
          <w:color w:val="000000" w:themeColor="text1"/>
        </w:rPr>
      </w:pPr>
      <w:r>
        <w:rPr>
          <w:rFonts w:hint="default" w:ascii="Times New Roman" w:hAnsi="Times New Roman" w:cs="Times New Roman"/>
          <w:color w:val="000000" w:themeColor="text1"/>
        </w:rPr>
        <w:t>执行企业标准、团体标准、地方标准的产品，检验项目参照上述内容执行。</w:t>
      </w:r>
      <w:bookmarkEnd w:id="0"/>
    </w:p>
    <w:p>
      <w:pPr>
        <w:snapToGrid w:val="0"/>
        <w:spacing w:line="440" w:lineRule="exact"/>
        <w:ind w:firstLine="359" w:firstLineChars="171"/>
        <w:rPr>
          <w:rFonts w:hint="default" w:ascii="Times New Roman" w:hAnsi="Times New Roman" w:cs="Times New Roman"/>
          <w:color w:val="000000" w:themeColor="text1"/>
        </w:rPr>
      </w:pPr>
      <w:r>
        <w:rPr>
          <w:rFonts w:hint="default" w:ascii="Times New Roman" w:hAnsi="Times New Roman" w:cs="Times New Roman"/>
          <w:color w:val="000000" w:themeColor="text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rFonts w:hint="default" w:ascii="Times New Roman" w:hAnsi="Times New Roman" w:cs="Times New Roman"/>
          <w:color w:val="000000" w:themeColor="text1"/>
        </w:rPr>
      </w:pPr>
    </w:p>
    <w:p>
      <w:pPr>
        <w:adjustRightInd w:val="0"/>
        <w:snapToGrid w:val="0"/>
        <w:spacing w:line="440" w:lineRule="exact"/>
        <w:outlineLvl w:val="1"/>
        <w:rPr>
          <w:rFonts w:hint="default" w:ascii="Times New Roman" w:hAnsi="Times New Roman" w:eastAsia="黑体" w:cs="Times New Roman"/>
          <w:color w:val="000000" w:themeColor="text1"/>
        </w:rPr>
      </w:pPr>
      <w:r>
        <w:rPr>
          <w:rFonts w:hint="default" w:ascii="Times New Roman" w:hAnsi="Times New Roman" w:eastAsia="黑体" w:cs="Times New Roman"/>
          <w:color w:val="000000" w:themeColor="text1"/>
        </w:rPr>
        <w:t>3 判定规则</w:t>
      </w:r>
    </w:p>
    <w:p>
      <w:pPr>
        <w:snapToGrid w:val="0"/>
        <w:spacing w:line="360" w:lineRule="auto"/>
        <w:rPr>
          <w:rFonts w:hint="default" w:ascii="Times New Roman" w:hAnsi="Times New Roman" w:cs="Times New Roman"/>
          <w:color w:val="000000" w:themeColor="text1"/>
        </w:rPr>
      </w:pPr>
      <w:r>
        <w:rPr>
          <w:rFonts w:hint="default" w:ascii="Times New Roman" w:hAnsi="Times New Roman" w:cs="Times New Roman"/>
          <w:color w:val="000000" w:themeColor="text1"/>
        </w:rPr>
        <w:t>3.1依据标准</w:t>
      </w:r>
    </w:p>
    <w:p>
      <w:pPr>
        <w:adjustRightInd w:val="0"/>
        <w:snapToGrid w:val="0"/>
        <w:spacing w:line="440" w:lineRule="exact"/>
        <w:ind w:firstLine="420" w:firstLineChars="200"/>
        <w:rPr>
          <w:rFonts w:hint="default" w:ascii="Times New Roman" w:hAnsi="Times New Roman" w:cs="Times New Roman"/>
          <w:color w:val="000000" w:themeColor="text1"/>
        </w:rPr>
      </w:pPr>
      <w:r>
        <w:rPr>
          <w:rFonts w:hint="default" w:ascii="Times New Roman" w:hAnsi="Times New Roman" w:cs="Times New Roman"/>
          <w:color w:val="000000" w:themeColor="text1"/>
        </w:rPr>
        <w:t>GB 4806.7—2023 食品安全国家标准 食品接触用塑料材料及制品</w:t>
      </w:r>
    </w:p>
    <w:p>
      <w:pPr>
        <w:adjustRightInd w:val="0"/>
        <w:snapToGrid w:val="0"/>
        <w:spacing w:line="440" w:lineRule="exact"/>
        <w:ind w:firstLine="420" w:firstLineChars="200"/>
        <w:rPr>
          <w:rFonts w:hint="default" w:ascii="Times New Roman" w:hAnsi="Times New Roman" w:cs="Times New Roman"/>
          <w:color w:val="000000" w:themeColor="text1"/>
        </w:rPr>
      </w:pPr>
      <w:r>
        <w:rPr>
          <w:rFonts w:hint="default" w:ascii="Times New Roman" w:hAnsi="Times New Roman" w:cs="Times New Roman"/>
          <w:color w:val="000000" w:themeColor="text1"/>
        </w:rPr>
        <w:t>GB 4806.8—2022 食品安全国家标准 食品接触用纸和纸板材料及制品</w:t>
      </w:r>
    </w:p>
    <w:p>
      <w:pPr>
        <w:adjustRightInd w:val="0"/>
        <w:snapToGrid w:val="0"/>
        <w:spacing w:line="440" w:lineRule="exact"/>
        <w:ind w:firstLine="420" w:firstLineChars="200"/>
        <w:rPr>
          <w:rFonts w:hint="default" w:ascii="Times New Roman" w:hAnsi="Times New Roman" w:cs="Times New Roman"/>
          <w:color w:val="000000" w:themeColor="text1"/>
        </w:rPr>
      </w:pPr>
      <w:r>
        <w:rPr>
          <w:rFonts w:hint="default" w:ascii="Times New Roman" w:hAnsi="Times New Roman" w:cs="Times New Roman"/>
          <w:color w:val="000000" w:themeColor="text1"/>
        </w:rPr>
        <w:t>GB 4806.13—2023 食品安全国家标准 食品接触用复合材料及制品</w:t>
      </w:r>
    </w:p>
    <w:p>
      <w:pPr>
        <w:adjustRightInd w:val="0"/>
        <w:snapToGrid w:val="0"/>
        <w:spacing w:line="440" w:lineRule="exact"/>
        <w:ind w:firstLine="420" w:firstLineChars="200"/>
        <w:rPr>
          <w:rFonts w:hint="default" w:ascii="Times New Roman" w:hAnsi="Times New Roman" w:cs="Times New Roman"/>
          <w:color w:val="000000" w:themeColor="text1"/>
        </w:rPr>
      </w:pPr>
      <w:r>
        <w:rPr>
          <w:rFonts w:hint="default" w:ascii="Times New Roman" w:hAnsi="Times New Roman" w:cs="Times New Roman"/>
          <w:color w:val="000000" w:themeColor="text1"/>
        </w:rPr>
        <w:t>GB/T 10440—2008 圆柱形复合罐</w:t>
      </w:r>
    </w:p>
    <w:p>
      <w:pPr>
        <w:adjustRightInd w:val="0"/>
        <w:snapToGrid w:val="0"/>
        <w:spacing w:line="440" w:lineRule="exact"/>
        <w:ind w:firstLine="420" w:firstLineChars="200"/>
        <w:rPr>
          <w:rFonts w:hint="default" w:ascii="Times New Roman" w:hAnsi="Times New Roman" w:cs="Times New Roman"/>
          <w:color w:val="000000" w:themeColor="text1"/>
        </w:rPr>
      </w:pPr>
      <w:r>
        <w:rPr>
          <w:rFonts w:hint="default" w:ascii="Times New Roman" w:hAnsi="Times New Roman" w:cs="Times New Roman"/>
          <w:color w:val="000000" w:themeColor="text1"/>
        </w:rPr>
        <w:t>GB/T 27589—2011 纸餐盒</w:t>
      </w:r>
    </w:p>
    <w:p>
      <w:pPr>
        <w:snapToGrid w:val="0"/>
        <w:spacing w:line="440" w:lineRule="exact"/>
        <w:ind w:firstLine="420" w:firstLineChars="200"/>
        <w:rPr>
          <w:rFonts w:hint="default" w:ascii="Times New Roman" w:hAnsi="Times New Roman" w:cs="Times New Roman"/>
        </w:rPr>
      </w:pPr>
      <w:r>
        <w:rPr>
          <w:rFonts w:hint="default" w:ascii="Times New Roman" w:hAnsi="Times New Roman" w:cs="Times New Roman"/>
        </w:rPr>
        <w:t>GB/T 27590—2022 纸杯</w:t>
      </w:r>
    </w:p>
    <w:p>
      <w:pPr>
        <w:adjustRightInd w:val="0"/>
        <w:snapToGrid w:val="0"/>
        <w:spacing w:line="440" w:lineRule="exact"/>
        <w:ind w:firstLine="420" w:firstLineChars="200"/>
        <w:rPr>
          <w:rFonts w:hint="default" w:ascii="Times New Roman" w:hAnsi="Times New Roman" w:cs="Times New Roman"/>
          <w:color w:val="000000" w:themeColor="text1"/>
        </w:rPr>
      </w:pPr>
      <w:r>
        <w:rPr>
          <w:rFonts w:hint="default" w:ascii="Times New Roman" w:hAnsi="Times New Roman" w:cs="Times New Roman"/>
          <w:color w:val="000000" w:themeColor="text1"/>
        </w:rPr>
        <w:t>GB/T 27591—2011 纸碗</w:t>
      </w:r>
    </w:p>
    <w:p>
      <w:pPr>
        <w:adjustRightInd w:val="0"/>
        <w:snapToGrid w:val="0"/>
        <w:spacing w:line="440" w:lineRule="exact"/>
        <w:ind w:firstLine="420" w:firstLineChars="200"/>
        <w:rPr>
          <w:rFonts w:hint="eastAsia" w:ascii="Times New Roman" w:hAnsi="Times New Roman" w:cs="Times New Roman"/>
          <w:color w:val="000000" w:themeColor="text1"/>
          <w:lang w:val="en-US" w:eastAsia="zh-CN"/>
        </w:rPr>
      </w:pPr>
      <w:r>
        <w:rPr>
          <w:rFonts w:hint="default" w:ascii="Times New Roman" w:hAnsi="Times New Roman" w:cs="Times New Roman"/>
          <w:color w:val="000000" w:themeColor="text1"/>
        </w:rPr>
        <w:t>GB/T 27591—20</w:t>
      </w:r>
      <w:r>
        <w:rPr>
          <w:rFonts w:hint="eastAsia" w:ascii="Times New Roman" w:hAnsi="Times New Roman" w:cs="Times New Roman"/>
          <w:color w:val="000000" w:themeColor="text1"/>
          <w:lang w:val="en-US" w:eastAsia="zh-CN"/>
        </w:rPr>
        <w:t>25</w:t>
      </w:r>
      <w:r>
        <w:rPr>
          <w:rFonts w:hint="default" w:ascii="Times New Roman" w:hAnsi="Times New Roman" w:cs="Times New Roman"/>
          <w:color w:val="000000" w:themeColor="text1"/>
        </w:rPr>
        <w:t xml:space="preserve"> 纸</w:t>
      </w:r>
      <w:r>
        <w:rPr>
          <w:rFonts w:hint="eastAsia" w:ascii="Times New Roman" w:hAnsi="Times New Roman" w:cs="Times New Roman"/>
          <w:color w:val="000000" w:themeColor="text1"/>
          <w:lang w:val="en-US" w:eastAsia="zh-CN"/>
        </w:rPr>
        <w:t>餐具</w:t>
      </w:r>
    </w:p>
    <w:p>
      <w:pPr>
        <w:adjustRightInd w:val="0"/>
        <w:snapToGrid w:val="0"/>
        <w:spacing w:line="440" w:lineRule="exact"/>
        <w:ind w:firstLine="420" w:firstLineChars="200"/>
        <w:rPr>
          <w:rFonts w:hint="default" w:ascii="Times New Roman" w:hAnsi="Times New Roman" w:cs="Times New Roman"/>
          <w:color w:val="000000" w:themeColor="text1"/>
        </w:rPr>
      </w:pPr>
      <w:r>
        <w:rPr>
          <w:rFonts w:hint="default" w:ascii="Times New Roman" w:hAnsi="Times New Roman" w:cs="Times New Roman"/>
          <w:color w:val="000000" w:themeColor="text1"/>
        </w:rPr>
        <w:t>GB/T 36787—2018 纸浆模塑餐具</w:t>
      </w:r>
    </w:p>
    <w:p>
      <w:pPr>
        <w:adjustRightInd w:val="0"/>
        <w:snapToGrid w:val="0"/>
        <w:spacing w:line="440" w:lineRule="exact"/>
        <w:ind w:firstLine="420" w:firstLineChars="200"/>
        <w:rPr>
          <w:rFonts w:hint="default" w:ascii="Times New Roman" w:hAnsi="Times New Roman" w:cs="Times New Roman"/>
          <w:color w:val="000000" w:themeColor="text1"/>
        </w:rPr>
      </w:pPr>
      <w:r>
        <w:rPr>
          <w:rFonts w:hint="default" w:ascii="Times New Roman" w:hAnsi="Times New Roman" w:cs="Times New Roman"/>
          <w:color w:val="000000" w:themeColor="text1"/>
        </w:rPr>
        <w:t>QB/T 2898—2007 餐用纸制品</w:t>
      </w:r>
    </w:p>
    <w:p>
      <w:pPr>
        <w:adjustRightInd w:val="0"/>
        <w:snapToGrid w:val="0"/>
        <w:spacing w:line="440" w:lineRule="exact"/>
        <w:ind w:firstLine="420" w:firstLineChars="200"/>
        <w:rPr>
          <w:rFonts w:hint="default" w:ascii="Times New Roman" w:hAnsi="Times New Roman" w:cs="Times New Roman"/>
          <w:color w:val="000000" w:themeColor="text1"/>
        </w:rPr>
      </w:pPr>
      <w:r>
        <w:rPr>
          <w:rFonts w:hint="default" w:ascii="Times New Roman" w:hAnsi="Times New Roman" w:cs="Times New Roman"/>
          <w:color w:val="000000" w:themeColor="text1"/>
        </w:rPr>
        <w:t>现行有效的企业标准、团体标准、地方标准及产品明示质量要求</w:t>
      </w:r>
    </w:p>
    <w:p>
      <w:pPr>
        <w:snapToGrid w:val="0"/>
        <w:spacing w:line="440" w:lineRule="exact"/>
        <w:rPr>
          <w:rFonts w:hint="default" w:ascii="Times New Roman" w:hAnsi="Times New Roman" w:cs="Times New Roman"/>
          <w:color w:val="000000" w:themeColor="text1"/>
        </w:rPr>
      </w:pPr>
      <w:r>
        <w:rPr>
          <w:rFonts w:hint="default" w:ascii="Times New Roman" w:hAnsi="Times New Roman" w:cs="Times New Roman"/>
          <w:color w:val="000000" w:themeColor="text1"/>
        </w:rPr>
        <w:t>3.2判定原则</w:t>
      </w:r>
    </w:p>
    <w:p>
      <w:pPr>
        <w:snapToGrid w:val="0"/>
        <w:spacing w:line="440" w:lineRule="exact"/>
        <w:ind w:firstLine="420" w:firstLineChars="200"/>
        <w:rPr>
          <w:rFonts w:hint="default" w:ascii="Times New Roman" w:hAnsi="Times New Roman" w:cs="Times New Roman"/>
          <w:color w:val="000000" w:themeColor="text1"/>
        </w:rPr>
      </w:pPr>
      <w:r>
        <w:rPr>
          <w:rFonts w:hint="default" w:ascii="Times New Roman" w:hAnsi="Times New Roman" w:cs="Times New Roman"/>
          <w:color w:val="000000" w:themeColor="text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hint="default" w:ascii="Times New Roman" w:hAnsi="Times New Roman" w:cs="Times New Roman"/>
          <w:color w:val="000000" w:themeColor="text1"/>
        </w:rPr>
      </w:pPr>
      <w:r>
        <w:rPr>
          <w:rFonts w:hint="default" w:ascii="Times New Roman" w:hAnsi="Times New Roman" w:cs="Times New Roman"/>
          <w:color w:val="000000" w:themeColor="text1"/>
        </w:rPr>
        <w:t>若被检产品明示的质量要求高于本细则中检验项目依据的标准要求时，应按被检产品明示的质量要求判定。</w:t>
      </w:r>
    </w:p>
    <w:p>
      <w:pPr>
        <w:snapToGrid w:val="0"/>
        <w:spacing w:line="440" w:lineRule="exact"/>
        <w:ind w:firstLine="417" w:firstLineChars="199"/>
        <w:rPr>
          <w:rFonts w:hint="default" w:ascii="Times New Roman" w:hAnsi="Times New Roman" w:cs="Times New Roman"/>
          <w:color w:val="000000" w:themeColor="text1"/>
        </w:rPr>
      </w:pPr>
      <w:r>
        <w:rPr>
          <w:rFonts w:hint="default" w:ascii="Times New Roman" w:hAnsi="Times New Roman" w:cs="Times New Roman"/>
          <w:color w:val="000000" w:themeColor="text1"/>
        </w:rPr>
        <w:t>若被检产品明示的质量要求低于本细则中检验项目依据的强制性标准要求时，应按照强制性标准要求判定。</w:t>
      </w:r>
    </w:p>
    <w:p>
      <w:pPr>
        <w:snapToGrid w:val="0"/>
        <w:spacing w:line="440" w:lineRule="exact"/>
        <w:ind w:firstLine="417" w:firstLineChars="199"/>
        <w:rPr>
          <w:rFonts w:hint="default" w:ascii="Times New Roman" w:hAnsi="Times New Roman" w:cs="Times New Roman"/>
          <w:color w:val="000000" w:themeColor="text1"/>
        </w:rPr>
      </w:pPr>
      <w:r>
        <w:rPr>
          <w:rFonts w:hint="default" w:ascii="Times New Roman" w:hAnsi="Times New Roman" w:cs="Times New Roman"/>
          <w:color w:val="000000" w:themeColor="text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hint="default" w:ascii="Times New Roman" w:hAnsi="Times New Roman" w:cs="Times New Roman"/>
          <w:color w:val="000000" w:themeColor="text1"/>
        </w:rPr>
      </w:pPr>
      <w:r>
        <w:rPr>
          <w:rFonts w:hint="default" w:ascii="Times New Roman" w:hAnsi="Times New Roman" w:cs="Times New Roman"/>
          <w:color w:val="000000" w:themeColor="text1"/>
        </w:rPr>
        <w:t>若被检产品明示的质量要求缺少本细则中检验项目依据的强制性标准要求时，应按照强制性标准要求判定。</w:t>
      </w:r>
    </w:p>
    <w:p>
      <w:pPr>
        <w:snapToGrid w:val="0"/>
        <w:spacing w:line="440" w:lineRule="exact"/>
        <w:ind w:firstLine="417" w:firstLineChars="199"/>
        <w:rPr>
          <w:rFonts w:hint="default" w:ascii="Times New Roman" w:hAnsi="Times New Roman" w:cs="Times New Roman"/>
          <w:color w:val="000000" w:themeColor="text1"/>
        </w:rPr>
      </w:pPr>
      <w:r>
        <w:rPr>
          <w:rFonts w:hint="default" w:ascii="Times New Roman" w:hAnsi="Times New Roman" w:cs="Times New Roman"/>
          <w:color w:val="000000" w:themeColor="text1"/>
        </w:rPr>
        <w:t>若被检产品明示的质量要求缺少本细则中检验项目依据的推荐性标准要求时，该项目不参与判定。</w:t>
      </w:r>
    </w:p>
    <w:p>
      <w:pPr>
        <w:snapToGrid w:val="0"/>
        <w:spacing w:line="440" w:lineRule="exact"/>
        <w:ind w:firstLine="417" w:firstLineChars="199"/>
        <w:rPr>
          <w:rFonts w:hint="default" w:ascii="Times New Roman" w:hAnsi="Times New Roman" w:cs="Times New Roman"/>
          <w:color w:val="000000" w:themeColor="text1"/>
        </w:rPr>
      </w:pPr>
      <w:r>
        <w:rPr>
          <w:rFonts w:hint="default" w:ascii="Times New Roman" w:hAnsi="Times New Roman" w:cs="Times New Roman"/>
          <w:color w:val="000000" w:themeColor="text1"/>
        </w:rPr>
        <w:t>依据GB 4789.1—2016 《食品安全国家标准 食品微生物学检验 总则》第7.3条规定“检验结果报告后，剩余样品和同批产品不进行微生物项目的复检”，微生物指标不合格不进行复检。</w:t>
      </w:r>
    </w:p>
    <w:p>
      <w:pPr>
        <w:spacing w:line="360" w:lineRule="auto"/>
        <w:rPr>
          <w:rFonts w:hint="default" w:ascii="Times New Roman" w:hAnsi="Times New Roman" w:eastAsia="黑体" w:cs="Times New Roman"/>
          <w:color w:val="000000" w:themeColor="text1"/>
        </w:rPr>
      </w:pPr>
    </w:p>
    <w:p>
      <w:pPr>
        <w:adjustRightInd w:val="0"/>
        <w:snapToGrid w:val="0"/>
        <w:spacing w:line="440" w:lineRule="exact"/>
        <w:outlineLvl w:val="1"/>
        <w:rPr>
          <w:rFonts w:hint="default" w:ascii="Times New Roman" w:hAnsi="Times New Roman" w:eastAsia="黑体" w:cs="Times New Roman"/>
          <w:color w:val="000000" w:themeColor="text1"/>
        </w:rPr>
      </w:pPr>
      <w:r>
        <w:rPr>
          <w:rFonts w:hint="default" w:ascii="Times New Roman" w:hAnsi="Times New Roman" w:eastAsia="黑体" w:cs="Times New Roman"/>
          <w:color w:val="000000" w:themeColor="text1"/>
        </w:rPr>
        <w:t>4 附则</w:t>
      </w:r>
    </w:p>
    <w:p>
      <w:pPr>
        <w:snapToGrid w:val="0"/>
        <w:spacing w:line="440" w:lineRule="exact"/>
        <w:ind w:firstLine="420" w:firstLineChars="200"/>
        <w:rPr>
          <w:rFonts w:hint="default" w:ascii="Times New Roman" w:hAnsi="Times New Roman" w:cs="Times New Roman"/>
          <w:color w:val="000000"/>
        </w:rPr>
      </w:pPr>
      <w:r>
        <w:rPr>
          <w:rFonts w:hint="default" w:ascii="Times New Roman" w:hAnsi="Times New Roman" w:cs="Times New Roman" w:eastAsiaTheme="minorEastAsia"/>
          <w:color w:val="000000"/>
        </w:rPr>
        <w:t>本细则代替《</w:t>
      </w:r>
      <w:r>
        <w:rPr>
          <w:rFonts w:hint="default" w:ascii="Times New Roman" w:hAnsi="Times New Roman" w:cs="Times New Roman"/>
        </w:rPr>
        <w:t>贵州省市场监管局关于发布2025年焦炭等72种产品</w:t>
      </w:r>
      <w:r>
        <w:rPr>
          <w:rFonts w:hint="eastAsia" w:ascii="Times New Roman" w:hAnsi="Times New Roman" w:cs="Times New Roman"/>
          <w:lang w:eastAsia="zh-CN"/>
        </w:rPr>
        <w:t>贵州省产品</w:t>
      </w:r>
      <w:r>
        <w:rPr>
          <w:rFonts w:hint="default" w:ascii="Times New Roman" w:hAnsi="Times New Roman" w:cs="Times New Roman"/>
        </w:rPr>
        <w:t>质量监督抽查实施细则的</w:t>
      </w:r>
      <w:r>
        <w:rPr>
          <w:rFonts w:hint="eastAsia" w:ascii="Times New Roman" w:hAnsi="Times New Roman" w:cs="Times New Roman"/>
          <w:lang w:eastAsia="zh-CN"/>
        </w:rPr>
        <w:t>通</w:t>
      </w:r>
      <w:r>
        <w:rPr>
          <w:rFonts w:hint="default" w:ascii="Times New Roman" w:hAnsi="Times New Roman" w:cs="Times New Roman"/>
        </w:rPr>
        <w:t>告</w:t>
      </w:r>
      <w:r>
        <w:rPr>
          <w:rFonts w:hint="default" w:ascii="Times New Roman" w:hAnsi="Times New Roman" w:cs="Times New Roman" w:eastAsiaTheme="minorEastAsia"/>
          <w:color w:val="000000"/>
        </w:rPr>
        <w:t>》中的《贵州省食品接触用纸容器产品质量监督抽查实施细则（202</w:t>
      </w:r>
      <w:r>
        <w:rPr>
          <w:rFonts w:hint="eastAsia" w:ascii="Times New Roman" w:hAnsi="Times New Roman" w:cs="Times New Roman" w:eastAsiaTheme="minorEastAsia"/>
          <w:color w:val="000000"/>
          <w:lang w:val="en-US" w:eastAsia="zh-CN"/>
        </w:rPr>
        <w:t>5</w:t>
      </w:r>
      <w:r>
        <w:rPr>
          <w:rFonts w:hint="default" w:ascii="Times New Roman" w:hAnsi="Times New Roman" w:cs="Times New Roman" w:eastAsiaTheme="minorEastAsia"/>
          <w:color w:val="000000"/>
        </w:rPr>
        <w:t>版）》</w:t>
      </w:r>
      <w:r>
        <w:rPr>
          <w:rFonts w:hint="eastAsia" w:ascii="Times New Roman" w:hAnsi="Times New Roman" w:cs="Times New Roman" w:eastAsiaTheme="minorEastAsia"/>
          <w:color w:val="000000"/>
          <w:lang w:eastAsia="zh-CN"/>
        </w:rPr>
        <w:t>、</w:t>
      </w:r>
      <w:r>
        <w:rPr>
          <w:rFonts w:hint="default" w:ascii="Times New Roman" w:hAnsi="Times New Roman" w:cs="Times New Roman" w:eastAsiaTheme="minorEastAsia"/>
          <w:color w:val="000000"/>
        </w:rPr>
        <w:t>《贵州省</w:t>
      </w:r>
      <w:r>
        <w:rPr>
          <w:rFonts w:hint="eastAsia" w:ascii="Times New Roman" w:hAnsi="Times New Roman" w:cs="Times New Roman" w:eastAsiaTheme="minorEastAsia"/>
          <w:color w:val="000000"/>
          <w:lang w:val="en-US" w:eastAsia="zh-CN"/>
        </w:rPr>
        <w:t>纸杯</w:t>
      </w:r>
      <w:r>
        <w:rPr>
          <w:rFonts w:hint="default" w:ascii="Times New Roman" w:hAnsi="Times New Roman" w:cs="Times New Roman" w:eastAsiaTheme="minorEastAsia"/>
          <w:color w:val="000000"/>
        </w:rPr>
        <w:t>产品质量监督抽查实施细则（202</w:t>
      </w:r>
      <w:r>
        <w:rPr>
          <w:rFonts w:hint="eastAsia" w:ascii="Times New Roman" w:hAnsi="Times New Roman" w:cs="Times New Roman" w:eastAsiaTheme="minorEastAsia"/>
          <w:color w:val="000000"/>
          <w:lang w:val="en-US" w:eastAsia="zh-CN"/>
        </w:rPr>
        <w:t>5</w:t>
      </w:r>
      <w:r>
        <w:rPr>
          <w:rFonts w:hint="default" w:ascii="Times New Roman" w:hAnsi="Times New Roman" w:cs="Times New Roman" w:eastAsiaTheme="minorEastAsia"/>
          <w:color w:val="000000"/>
        </w:rPr>
        <w:t>版）》。</w:t>
      </w:r>
    </w:p>
    <w:p>
      <w:pPr>
        <w:snapToGrid w:val="0"/>
        <w:spacing w:line="440" w:lineRule="exact"/>
        <w:ind w:firstLine="417" w:firstLineChars="199"/>
      </w:pPr>
    </w:p>
    <w:sectPr>
      <w:footerReference r:id="rId3" w:type="default"/>
      <w:pgSz w:w="11906" w:h="16838"/>
      <w:pgMar w:top="1985" w:right="1474" w:bottom="1644" w:left="1474" w:header="851" w:footer="119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6</w:t>
    </w:r>
    <w:r>
      <w:rPr>
        <w:rFonts w:ascii="Times New Roman" w:hAnsi="Times New Roman"/>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AyODJhMmYzY2JlOGEzZDJkYWI0YWZlYjYwODIzM2EifQ=="/>
  </w:docVars>
  <w:rsids>
    <w:rsidRoot w:val="001E3443"/>
    <w:rsid w:val="00011DEF"/>
    <w:rsid w:val="00020D11"/>
    <w:rsid w:val="00043430"/>
    <w:rsid w:val="000442BC"/>
    <w:rsid w:val="000469E7"/>
    <w:rsid w:val="0007714C"/>
    <w:rsid w:val="000851E2"/>
    <w:rsid w:val="00090BF9"/>
    <w:rsid w:val="000A17FB"/>
    <w:rsid w:val="000A2874"/>
    <w:rsid w:val="000A56E2"/>
    <w:rsid w:val="000C2594"/>
    <w:rsid w:val="000D04CA"/>
    <w:rsid w:val="000D3046"/>
    <w:rsid w:val="000E0CC0"/>
    <w:rsid w:val="000E33C5"/>
    <w:rsid w:val="000F6765"/>
    <w:rsid w:val="00113FBE"/>
    <w:rsid w:val="00130AB6"/>
    <w:rsid w:val="0013416B"/>
    <w:rsid w:val="00145543"/>
    <w:rsid w:val="0015338B"/>
    <w:rsid w:val="00162504"/>
    <w:rsid w:val="00171325"/>
    <w:rsid w:val="001728F1"/>
    <w:rsid w:val="00180345"/>
    <w:rsid w:val="001815BF"/>
    <w:rsid w:val="001A55F9"/>
    <w:rsid w:val="001C026B"/>
    <w:rsid w:val="001C7634"/>
    <w:rsid w:val="001D1072"/>
    <w:rsid w:val="001E3443"/>
    <w:rsid w:val="0020204B"/>
    <w:rsid w:val="0021277B"/>
    <w:rsid w:val="00235C2E"/>
    <w:rsid w:val="00245435"/>
    <w:rsid w:val="0024582F"/>
    <w:rsid w:val="00251C14"/>
    <w:rsid w:val="00257373"/>
    <w:rsid w:val="00272DCF"/>
    <w:rsid w:val="002825F8"/>
    <w:rsid w:val="002A0A7E"/>
    <w:rsid w:val="002B5082"/>
    <w:rsid w:val="002C1903"/>
    <w:rsid w:val="002C525D"/>
    <w:rsid w:val="002C7009"/>
    <w:rsid w:val="002F6274"/>
    <w:rsid w:val="00322439"/>
    <w:rsid w:val="0032288C"/>
    <w:rsid w:val="00326645"/>
    <w:rsid w:val="00343996"/>
    <w:rsid w:val="00353F4B"/>
    <w:rsid w:val="00354450"/>
    <w:rsid w:val="00356AE1"/>
    <w:rsid w:val="00360823"/>
    <w:rsid w:val="00361764"/>
    <w:rsid w:val="00371488"/>
    <w:rsid w:val="003C5FEA"/>
    <w:rsid w:val="003D10BA"/>
    <w:rsid w:val="003D4887"/>
    <w:rsid w:val="003D6DF2"/>
    <w:rsid w:val="003F6834"/>
    <w:rsid w:val="00411EBF"/>
    <w:rsid w:val="004131F7"/>
    <w:rsid w:val="004179F8"/>
    <w:rsid w:val="0042024E"/>
    <w:rsid w:val="00427315"/>
    <w:rsid w:val="004345BF"/>
    <w:rsid w:val="0044769E"/>
    <w:rsid w:val="0048591F"/>
    <w:rsid w:val="00487541"/>
    <w:rsid w:val="004E45AA"/>
    <w:rsid w:val="004E75DB"/>
    <w:rsid w:val="00510516"/>
    <w:rsid w:val="00525D59"/>
    <w:rsid w:val="005642B2"/>
    <w:rsid w:val="00593F48"/>
    <w:rsid w:val="005A0B59"/>
    <w:rsid w:val="005A4D95"/>
    <w:rsid w:val="005B3CAB"/>
    <w:rsid w:val="005C31DD"/>
    <w:rsid w:val="005D2A96"/>
    <w:rsid w:val="005E34E6"/>
    <w:rsid w:val="005E5680"/>
    <w:rsid w:val="005E632C"/>
    <w:rsid w:val="005F013F"/>
    <w:rsid w:val="005F461F"/>
    <w:rsid w:val="00605E22"/>
    <w:rsid w:val="00630847"/>
    <w:rsid w:val="00633319"/>
    <w:rsid w:val="006665D4"/>
    <w:rsid w:val="0068106E"/>
    <w:rsid w:val="00683C16"/>
    <w:rsid w:val="00694C94"/>
    <w:rsid w:val="006D5E2F"/>
    <w:rsid w:val="006F52EE"/>
    <w:rsid w:val="006F6056"/>
    <w:rsid w:val="00710BF5"/>
    <w:rsid w:val="00714FC7"/>
    <w:rsid w:val="007429D1"/>
    <w:rsid w:val="00747750"/>
    <w:rsid w:val="0079004C"/>
    <w:rsid w:val="00794116"/>
    <w:rsid w:val="007B17E0"/>
    <w:rsid w:val="007C3E8D"/>
    <w:rsid w:val="007E506E"/>
    <w:rsid w:val="007E65D2"/>
    <w:rsid w:val="007F4069"/>
    <w:rsid w:val="00807F42"/>
    <w:rsid w:val="008104B1"/>
    <w:rsid w:val="0081150C"/>
    <w:rsid w:val="00820690"/>
    <w:rsid w:val="008245CB"/>
    <w:rsid w:val="00837F24"/>
    <w:rsid w:val="0086284D"/>
    <w:rsid w:val="00870740"/>
    <w:rsid w:val="00872FF7"/>
    <w:rsid w:val="008736B8"/>
    <w:rsid w:val="00884606"/>
    <w:rsid w:val="00892491"/>
    <w:rsid w:val="00895B7C"/>
    <w:rsid w:val="008A6E90"/>
    <w:rsid w:val="008B5066"/>
    <w:rsid w:val="008B6C09"/>
    <w:rsid w:val="008B7B47"/>
    <w:rsid w:val="008C7CA4"/>
    <w:rsid w:val="008D4B2D"/>
    <w:rsid w:val="008F4FB8"/>
    <w:rsid w:val="00902387"/>
    <w:rsid w:val="00916BDD"/>
    <w:rsid w:val="009366B8"/>
    <w:rsid w:val="00937E93"/>
    <w:rsid w:val="00946234"/>
    <w:rsid w:val="009463A3"/>
    <w:rsid w:val="00953717"/>
    <w:rsid w:val="0096482D"/>
    <w:rsid w:val="009673EA"/>
    <w:rsid w:val="00970F53"/>
    <w:rsid w:val="009720C3"/>
    <w:rsid w:val="00987140"/>
    <w:rsid w:val="009A0CFE"/>
    <w:rsid w:val="009A5117"/>
    <w:rsid w:val="009A6331"/>
    <w:rsid w:val="009A7F59"/>
    <w:rsid w:val="009D60ED"/>
    <w:rsid w:val="009E22E7"/>
    <w:rsid w:val="009E470B"/>
    <w:rsid w:val="009F2EF2"/>
    <w:rsid w:val="00A06419"/>
    <w:rsid w:val="00A10DBB"/>
    <w:rsid w:val="00A1287C"/>
    <w:rsid w:val="00A32223"/>
    <w:rsid w:val="00A46206"/>
    <w:rsid w:val="00A50717"/>
    <w:rsid w:val="00A61D90"/>
    <w:rsid w:val="00A747CE"/>
    <w:rsid w:val="00A91A5C"/>
    <w:rsid w:val="00A96B04"/>
    <w:rsid w:val="00AA4371"/>
    <w:rsid w:val="00AC3319"/>
    <w:rsid w:val="00AD55EF"/>
    <w:rsid w:val="00AE4FCD"/>
    <w:rsid w:val="00AF27A4"/>
    <w:rsid w:val="00AF3C28"/>
    <w:rsid w:val="00B0005F"/>
    <w:rsid w:val="00B00D74"/>
    <w:rsid w:val="00B027D7"/>
    <w:rsid w:val="00B07723"/>
    <w:rsid w:val="00B14F44"/>
    <w:rsid w:val="00B22B4B"/>
    <w:rsid w:val="00B26D2D"/>
    <w:rsid w:val="00B304D9"/>
    <w:rsid w:val="00B37C20"/>
    <w:rsid w:val="00B46901"/>
    <w:rsid w:val="00B554F0"/>
    <w:rsid w:val="00B658A9"/>
    <w:rsid w:val="00B711F9"/>
    <w:rsid w:val="00BA1817"/>
    <w:rsid w:val="00BB441E"/>
    <w:rsid w:val="00BC503A"/>
    <w:rsid w:val="00BD45C8"/>
    <w:rsid w:val="00BE6227"/>
    <w:rsid w:val="00BF34D2"/>
    <w:rsid w:val="00BF6059"/>
    <w:rsid w:val="00C076DC"/>
    <w:rsid w:val="00C13D4E"/>
    <w:rsid w:val="00C16879"/>
    <w:rsid w:val="00C42B79"/>
    <w:rsid w:val="00C445F9"/>
    <w:rsid w:val="00C534BA"/>
    <w:rsid w:val="00C63055"/>
    <w:rsid w:val="00C82251"/>
    <w:rsid w:val="00CB4778"/>
    <w:rsid w:val="00CC1F6D"/>
    <w:rsid w:val="00CC730F"/>
    <w:rsid w:val="00CE31BA"/>
    <w:rsid w:val="00CF0851"/>
    <w:rsid w:val="00D01A72"/>
    <w:rsid w:val="00D1182B"/>
    <w:rsid w:val="00D1311F"/>
    <w:rsid w:val="00D21961"/>
    <w:rsid w:val="00D4428B"/>
    <w:rsid w:val="00D46A99"/>
    <w:rsid w:val="00D53113"/>
    <w:rsid w:val="00D5593C"/>
    <w:rsid w:val="00D56CE1"/>
    <w:rsid w:val="00D57DA7"/>
    <w:rsid w:val="00D63A4A"/>
    <w:rsid w:val="00D66942"/>
    <w:rsid w:val="00D92669"/>
    <w:rsid w:val="00DC424B"/>
    <w:rsid w:val="00DD5D84"/>
    <w:rsid w:val="00DD6EF5"/>
    <w:rsid w:val="00DE0387"/>
    <w:rsid w:val="00E02ED9"/>
    <w:rsid w:val="00E117AD"/>
    <w:rsid w:val="00E15023"/>
    <w:rsid w:val="00E202B2"/>
    <w:rsid w:val="00E30BFF"/>
    <w:rsid w:val="00E335C7"/>
    <w:rsid w:val="00E467B3"/>
    <w:rsid w:val="00E47DFE"/>
    <w:rsid w:val="00E66E18"/>
    <w:rsid w:val="00E678DC"/>
    <w:rsid w:val="00E81136"/>
    <w:rsid w:val="00E81DB6"/>
    <w:rsid w:val="00E84180"/>
    <w:rsid w:val="00E85045"/>
    <w:rsid w:val="00E92767"/>
    <w:rsid w:val="00EA3DE4"/>
    <w:rsid w:val="00EE344F"/>
    <w:rsid w:val="00EF5298"/>
    <w:rsid w:val="00EF7E42"/>
    <w:rsid w:val="00F02DF8"/>
    <w:rsid w:val="00F03CCA"/>
    <w:rsid w:val="00F127CB"/>
    <w:rsid w:val="00F346AE"/>
    <w:rsid w:val="00F431FC"/>
    <w:rsid w:val="00F44667"/>
    <w:rsid w:val="00F5503C"/>
    <w:rsid w:val="00F90C2C"/>
    <w:rsid w:val="00F92CF7"/>
    <w:rsid w:val="00F96E5B"/>
    <w:rsid w:val="00F97A82"/>
    <w:rsid w:val="00FA234D"/>
    <w:rsid w:val="00FD12A2"/>
    <w:rsid w:val="00FD776E"/>
    <w:rsid w:val="00FE21C0"/>
    <w:rsid w:val="00FE64B7"/>
    <w:rsid w:val="02F02851"/>
    <w:rsid w:val="06D957A5"/>
    <w:rsid w:val="08680557"/>
    <w:rsid w:val="0B1659B9"/>
    <w:rsid w:val="0E1A5855"/>
    <w:rsid w:val="100C136B"/>
    <w:rsid w:val="10F22FF4"/>
    <w:rsid w:val="119F000A"/>
    <w:rsid w:val="13B81C39"/>
    <w:rsid w:val="13C773FA"/>
    <w:rsid w:val="14636E9E"/>
    <w:rsid w:val="15E1046E"/>
    <w:rsid w:val="16537C89"/>
    <w:rsid w:val="1666503C"/>
    <w:rsid w:val="16B659FA"/>
    <w:rsid w:val="178F1F16"/>
    <w:rsid w:val="188C7277"/>
    <w:rsid w:val="18EA1134"/>
    <w:rsid w:val="1AC85A38"/>
    <w:rsid w:val="1ECF45A6"/>
    <w:rsid w:val="218923F5"/>
    <w:rsid w:val="2284663F"/>
    <w:rsid w:val="23131BDE"/>
    <w:rsid w:val="23465DDD"/>
    <w:rsid w:val="23674DDC"/>
    <w:rsid w:val="26191A4E"/>
    <w:rsid w:val="2B5F098D"/>
    <w:rsid w:val="2C18281E"/>
    <w:rsid w:val="2D3D4C74"/>
    <w:rsid w:val="2EA90219"/>
    <w:rsid w:val="2FDA6409"/>
    <w:rsid w:val="32FE1849"/>
    <w:rsid w:val="368C4FB0"/>
    <w:rsid w:val="38853EBE"/>
    <w:rsid w:val="3B2F38C9"/>
    <w:rsid w:val="3EE95F8A"/>
    <w:rsid w:val="3FFDB9DD"/>
    <w:rsid w:val="402F4F0B"/>
    <w:rsid w:val="419F6640"/>
    <w:rsid w:val="438700C4"/>
    <w:rsid w:val="43A72664"/>
    <w:rsid w:val="43B531B7"/>
    <w:rsid w:val="4432161E"/>
    <w:rsid w:val="464278AD"/>
    <w:rsid w:val="47965578"/>
    <w:rsid w:val="498C0C76"/>
    <w:rsid w:val="4A4E61B4"/>
    <w:rsid w:val="51064BF1"/>
    <w:rsid w:val="52B55C95"/>
    <w:rsid w:val="537A3527"/>
    <w:rsid w:val="53AA41F0"/>
    <w:rsid w:val="55865969"/>
    <w:rsid w:val="56400EC9"/>
    <w:rsid w:val="5B414FAB"/>
    <w:rsid w:val="5DD64A11"/>
    <w:rsid w:val="5E6B43EC"/>
    <w:rsid w:val="60BA57F4"/>
    <w:rsid w:val="624C5753"/>
    <w:rsid w:val="637F5A3F"/>
    <w:rsid w:val="64AC6B49"/>
    <w:rsid w:val="664A0B1C"/>
    <w:rsid w:val="688D54BF"/>
    <w:rsid w:val="6944085B"/>
    <w:rsid w:val="6C1E5310"/>
    <w:rsid w:val="6E902609"/>
    <w:rsid w:val="6F3F8ED6"/>
    <w:rsid w:val="730365B5"/>
    <w:rsid w:val="753D0AE0"/>
    <w:rsid w:val="75EB0F1D"/>
    <w:rsid w:val="76B14CF5"/>
    <w:rsid w:val="7B5F19F8"/>
    <w:rsid w:val="7DEED60C"/>
    <w:rsid w:val="7E184417"/>
    <w:rsid w:val="7FD7853F"/>
    <w:rsid w:val="DDFC2FC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iPriority="99" w:semiHidden="0"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4"/>
    <w:semiHidden/>
    <w:qFormat/>
    <w:locked/>
    <w:uiPriority w:val="99"/>
    <w:pPr>
      <w:shd w:val="clear" w:color="auto" w:fill="000080"/>
    </w:pPr>
    <w:rPr>
      <w:rFonts w:ascii="Times New Roman" w:hAnsi="Times New Roman" w:cs="Times New Roman"/>
      <w:kern w:val="0"/>
      <w:sz w:val="0"/>
      <w:szCs w:val="0"/>
    </w:rPr>
  </w:style>
  <w:style w:type="paragraph" w:styleId="3">
    <w:name w:val="annotation text"/>
    <w:basedOn w:val="1"/>
    <w:link w:val="15"/>
    <w:unhideWhenUsed/>
    <w:qFormat/>
    <w:locked/>
    <w:uiPriority w:val="99"/>
    <w:pPr>
      <w:jc w:val="left"/>
    </w:pPr>
    <w:rPr>
      <w:rFonts w:cs="Times New Roman"/>
    </w:rPr>
  </w:style>
  <w:style w:type="paragraph" w:styleId="4">
    <w:name w:val="Balloon Text"/>
    <w:basedOn w:val="1"/>
    <w:link w:val="13"/>
    <w:semiHidden/>
    <w:qFormat/>
    <w:uiPriority w:val="99"/>
    <w:rPr>
      <w:rFonts w:cs="Times New Roman"/>
      <w:sz w:val="18"/>
      <w:szCs w:val="18"/>
    </w:rPr>
  </w:style>
  <w:style w:type="paragraph" w:styleId="5">
    <w:name w:val="footer"/>
    <w:basedOn w:val="1"/>
    <w:link w:val="12"/>
    <w:qFormat/>
    <w:uiPriority w:val="99"/>
    <w:pPr>
      <w:tabs>
        <w:tab w:val="center" w:pos="4153"/>
        <w:tab w:val="right" w:pos="8306"/>
      </w:tabs>
      <w:snapToGrid w:val="0"/>
      <w:jc w:val="left"/>
    </w:pPr>
    <w:rPr>
      <w:rFonts w:cs="Times New Roman"/>
      <w:sz w:val="18"/>
      <w:szCs w:val="18"/>
    </w:rPr>
  </w:style>
  <w:style w:type="paragraph" w:styleId="6">
    <w:name w:val="header"/>
    <w:basedOn w:val="1"/>
    <w:link w:val="11"/>
    <w:qFormat/>
    <w:uiPriority w:val="99"/>
    <w:pPr>
      <w:pBdr>
        <w:bottom w:val="single" w:color="auto" w:sz="6" w:space="1"/>
      </w:pBdr>
      <w:tabs>
        <w:tab w:val="center" w:pos="4153"/>
        <w:tab w:val="right" w:pos="8306"/>
      </w:tabs>
      <w:snapToGrid w:val="0"/>
      <w:jc w:val="center"/>
    </w:pPr>
    <w:rPr>
      <w:rFonts w:cs="Times New Roman"/>
      <w:sz w:val="18"/>
      <w:szCs w:val="18"/>
    </w:rPr>
  </w:style>
  <w:style w:type="paragraph" w:styleId="7">
    <w:name w:val="annotation subject"/>
    <w:basedOn w:val="3"/>
    <w:next w:val="3"/>
    <w:link w:val="16"/>
    <w:semiHidden/>
    <w:unhideWhenUsed/>
    <w:qFormat/>
    <w:locked/>
    <w:uiPriority w:val="99"/>
    <w:rPr>
      <w:b/>
      <w:bCs/>
    </w:rPr>
  </w:style>
  <w:style w:type="character" w:styleId="10">
    <w:name w:val="annotation reference"/>
    <w:semiHidden/>
    <w:unhideWhenUsed/>
    <w:qFormat/>
    <w:locked/>
    <w:uiPriority w:val="99"/>
    <w:rPr>
      <w:sz w:val="21"/>
      <w:szCs w:val="21"/>
    </w:rPr>
  </w:style>
  <w:style w:type="character" w:customStyle="1" w:styleId="11">
    <w:name w:val="页眉 字符"/>
    <w:link w:val="6"/>
    <w:qFormat/>
    <w:locked/>
    <w:uiPriority w:val="99"/>
    <w:rPr>
      <w:rFonts w:ascii="Calibri" w:hAnsi="Calibri" w:cs="Calibri"/>
      <w:kern w:val="2"/>
      <w:sz w:val="18"/>
      <w:szCs w:val="18"/>
    </w:rPr>
  </w:style>
  <w:style w:type="character" w:customStyle="1" w:styleId="12">
    <w:name w:val="页脚 字符"/>
    <w:link w:val="5"/>
    <w:qFormat/>
    <w:locked/>
    <w:uiPriority w:val="99"/>
    <w:rPr>
      <w:rFonts w:ascii="Calibri" w:hAnsi="Calibri" w:cs="Calibri"/>
      <w:kern w:val="2"/>
      <w:sz w:val="18"/>
      <w:szCs w:val="18"/>
    </w:rPr>
  </w:style>
  <w:style w:type="character" w:customStyle="1" w:styleId="13">
    <w:name w:val="批注框文本 字符"/>
    <w:link w:val="4"/>
    <w:qFormat/>
    <w:locked/>
    <w:uiPriority w:val="99"/>
    <w:rPr>
      <w:rFonts w:ascii="Calibri" w:hAnsi="Calibri" w:cs="Calibri"/>
      <w:kern w:val="2"/>
      <w:sz w:val="18"/>
      <w:szCs w:val="18"/>
    </w:rPr>
  </w:style>
  <w:style w:type="character" w:customStyle="1" w:styleId="14">
    <w:name w:val="文档结构图 字符"/>
    <w:link w:val="2"/>
    <w:semiHidden/>
    <w:qFormat/>
    <w:uiPriority w:val="99"/>
    <w:rPr>
      <w:rFonts w:cs="Calibri"/>
      <w:sz w:val="0"/>
      <w:szCs w:val="0"/>
    </w:rPr>
  </w:style>
  <w:style w:type="character" w:customStyle="1" w:styleId="15">
    <w:name w:val="批注文字 字符"/>
    <w:link w:val="3"/>
    <w:qFormat/>
    <w:uiPriority w:val="99"/>
    <w:rPr>
      <w:rFonts w:ascii="Calibri" w:hAnsi="Calibri" w:cs="Calibri"/>
      <w:kern w:val="2"/>
      <w:sz w:val="21"/>
      <w:szCs w:val="21"/>
    </w:rPr>
  </w:style>
  <w:style w:type="character" w:customStyle="1" w:styleId="16">
    <w:name w:val="批注主题 字符"/>
    <w:link w:val="7"/>
    <w:semiHidden/>
    <w:qFormat/>
    <w:uiPriority w:val="99"/>
    <w:rPr>
      <w:rFonts w:ascii="Calibri" w:hAnsi="Calibri" w:cs="Calibri"/>
      <w:b/>
      <w:bCs/>
      <w:kern w:val="2"/>
      <w:sz w:val="21"/>
      <w:szCs w:val="21"/>
    </w:rPr>
  </w:style>
  <w:style w:type="paragraph" w:customStyle="1" w:styleId="17">
    <w:name w:val="修订1"/>
    <w:hidden/>
    <w:semiHidden/>
    <w:qFormat/>
    <w:uiPriority w:val="99"/>
    <w:rPr>
      <w:rFonts w:ascii="Calibri" w:hAnsi="Calibri" w:eastAsia="宋体" w:cs="Calibri"/>
      <w:kern w:val="2"/>
      <w:sz w:val="21"/>
      <w:szCs w:val="21"/>
      <w:lang w:val="en-US" w:eastAsia="zh-CN" w:bidi="ar-SA"/>
    </w:rPr>
  </w:style>
  <w:style w:type="paragraph" w:customStyle="1" w:styleId="18">
    <w:name w:val="修订2"/>
    <w:hidden/>
    <w:semiHidden/>
    <w:qFormat/>
    <w:uiPriority w:val="99"/>
    <w:rPr>
      <w:rFonts w:ascii="Calibri" w:hAnsi="Calibri" w:eastAsia="宋体" w:cs="Calibri"/>
      <w:kern w:val="2"/>
      <w:sz w:val="21"/>
      <w:szCs w:val="21"/>
      <w:lang w:val="en-US" w:eastAsia="zh-CN" w:bidi="ar-SA"/>
    </w:rPr>
  </w:style>
  <w:style w:type="paragraph" w:customStyle="1" w:styleId="19">
    <w:name w:val="修订3"/>
    <w:hidden/>
    <w:semiHidden/>
    <w:qFormat/>
    <w:uiPriority w:val="99"/>
    <w:rPr>
      <w:rFonts w:ascii="Calibri" w:hAnsi="Calibri" w:eastAsia="宋体" w:cs="Calibri"/>
      <w:kern w:val="2"/>
      <w:sz w:val="21"/>
      <w:szCs w:val="21"/>
      <w:lang w:val="en-US" w:eastAsia="zh-CN" w:bidi="ar-SA"/>
    </w:rPr>
  </w:style>
  <w:style w:type="paragraph" w:customStyle="1" w:styleId="20">
    <w:name w:val="修订4"/>
    <w:hidden/>
    <w:semiHidden/>
    <w:qFormat/>
    <w:uiPriority w:val="99"/>
    <w:rPr>
      <w:rFonts w:ascii="Calibri" w:hAnsi="Calibri" w:eastAsia="宋体" w:cs="Calibri"/>
      <w:kern w:val="2"/>
      <w:sz w:val="21"/>
      <w:szCs w:val="21"/>
      <w:lang w:val="en-US" w:eastAsia="zh-CN" w:bidi="ar-SA"/>
    </w:rPr>
  </w:style>
  <w:style w:type="paragraph" w:customStyle="1" w:styleId="21">
    <w:name w:val="修订5"/>
    <w:hidden/>
    <w:semiHidden/>
    <w:qFormat/>
    <w:uiPriority w:val="99"/>
    <w:rPr>
      <w:rFonts w:ascii="Calibri" w:hAnsi="Calibri" w:eastAsia="宋体" w:cs="Calibri"/>
      <w:kern w:val="2"/>
      <w:sz w:val="21"/>
      <w:szCs w:val="21"/>
      <w:lang w:val="en-US" w:eastAsia="zh-CN" w:bidi="ar-SA"/>
    </w:rPr>
  </w:style>
  <w:style w:type="paragraph" w:customStyle="1" w:styleId="22">
    <w:name w:val="Revision"/>
    <w:hidden/>
    <w:semiHidden/>
    <w:qFormat/>
    <w:uiPriority w:val="99"/>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7</Pages>
  <Words>1942</Words>
  <Characters>3541</Characters>
  <Lines>24</Lines>
  <Paragraphs>7</Paragraphs>
  <TotalTime>0</TotalTime>
  <ScaleCrop>false</ScaleCrop>
  <LinksUpToDate>false</LinksUpToDate>
  <CharactersWithSpaces>3725</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2023-02-02T21:02:00Z</dcterms:created>
  <dc:creator>Administrator</dc:creator>
  <cp:lastModifiedBy>ysgz</cp:lastModifiedBy>
  <dcterms:modified xsi:type="dcterms:W3CDTF">2026-04-20T17:15:21Z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B4CB4F2F84A4423E9AAD95BFD489B818</vt:lpwstr>
  </property>
  <property fmtid="{D5CDD505-2E9C-101B-9397-08002B2CF9AE}" pid="4" name="KSOTemplateDocerSaveRecord">
    <vt:lpwstr>eyJoZGlkIjoiMDYwZjMyZWYzMmNmMzY4MzkwYmQ0NTJiMTg4YjkxMzIiLCJ1c2VySWQiOiI0MjUxMDQ1MjMifQ==</vt:lpwstr>
  </property>
</Properties>
</file>